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t>中华人民共和国期货和衍生品法</w:t>
      </w:r>
    </w:p>
    <w:p>
      <w:pPr>
        <w:pStyle w:val="8"/>
      </w:pPr>
      <w:r>
        <w:t>《中华人民共和国期货和衍生品法》已由中华人民共和国第十三届全国人民代表大会常务委员会第三十四次会议于2022年4月20日通过，现予公布，自2022年8月1日起施行。</w:t>
      </w:r>
    </w:p>
    <w:p>
      <w:pPr>
        <w:pStyle w:val="8"/>
        <w:jc w:val="right"/>
      </w:pPr>
      <w:r>
        <w:t>中华人民共和国主席 习近平</w:t>
      </w:r>
      <w:r>
        <w:br w:type="textWrapping"/>
      </w:r>
      <w:r>
        <w:t>2022年4月20日</w:t>
      </w:r>
    </w:p>
    <w:p>
      <w:pPr>
        <w:pStyle w:val="2"/>
      </w:pPr>
      <w:r>
        <w:t>第一章 总 则</w:t>
      </w:r>
    </w:p>
    <w:p>
      <w:pPr>
        <w:pStyle w:val="4"/>
      </w:pPr>
      <w:r>
        <w:t>第一条</w:t>
      </w:r>
    </w:p>
    <w:p>
      <w:pPr>
        <w:pStyle w:val="8"/>
      </w:pPr>
      <w:r>
        <w:t>为了规范期货交易和衍生品交易行为，保障各方合法权益，维护市场秩序和社会公共利益，促进期货市场和衍生品市场服务国民经济，防范化解金融风险，维护国家经济安全，制定本法。</w:t>
      </w:r>
    </w:p>
    <w:p>
      <w:pPr>
        <w:pStyle w:val="4"/>
      </w:pPr>
      <w:r>
        <w:t>第二条</w:t>
      </w:r>
    </w:p>
    <w:p>
      <w:pPr>
        <w:pStyle w:val="8"/>
      </w:pPr>
      <w:r>
        <w:t>在中华人民共和国境内，期货交易和衍生品交易及相关活动，适用本法。</w:t>
      </w:r>
    </w:p>
    <w:p>
      <w:pPr>
        <w:pStyle w:val="8"/>
      </w:pPr>
      <w:r>
        <w:t>在中华人民共和国境外的期货交易和衍生品交易及相关活动，扰乱中华人民共和国境内市场秩序，损害境内交易者合法权益的，依照本法有关规定处理并追究法律责任。</w:t>
      </w:r>
    </w:p>
    <w:p>
      <w:pPr>
        <w:pStyle w:val="4"/>
      </w:pPr>
      <w:r>
        <w:t>第三条</w:t>
      </w:r>
    </w:p>
    <w:p>
      <w:pPr>
        <w:pStyle w:val="8"/>
      </w:pPr>
      <w:r>
        <w:t>本法所称期货交易，是指以期货合约或者标准化期权合约为交易标的的交易活动。</w:t>
      </w:r>
    </w:p>
    <w:p>
      <w:pPr>
        <w:pStyle w:val="8"/>
      </w:pPr>
      <w:r>
        <w:t>本法所称衍生品交易，是指期货交易以外的，以互换合约、远期合约和非标准化期权合约及其组合为交易标的的交易活动。</w:t>
      </w:r>
    </w:p>
    <w:p>
      <w:pPr>
        <w:pStyle w:val="8"/>
      </w:pPr>
      <w:r>
        <w:t>本法所称期货合约，是指期货交易场所统一制定的、约定在将来某一特定的时间和地点交割一定数量标的物的标准化合约。</w:t>
      </w:r>
    </w:p>
    <w:p>
      <w:pPr>
        <w:pStyle w:val="8"/>
      </w:pPr>
      <w:r>
        <w:t>本法所称期权合约，是指约定买方有权在将来某一时间以特定价格买入或者卖出约定标的物（包括期货合约）的标准化或非标准化合约。</w:t>
      </w:r>
    </w:p>
    <w:p>
      <w:pPr>
        <w:pStyle w:val="8"/>
      </w:pPr>
      <w:r>
        <w:t>本法所称互换合约，是指约定在将来某一特定时间内相互交换特定标的物的金融合约。</w:t>
      </w:r>
    </w:p>
    <w:p>
      <w:pPr>
        <w:pStyle w:val="8"/>
      </w:pPr>
      <w:r>
        <w:t>本法所称远期合约，是指期货合约以外的，约定在将来某一特定的时间和地点交割一定数量标的物的金融合约。</w:t>
      </w:r>
    </w:p>
    <w:p>
      <w:pPr>
        <w:pStyle w:val="4"/>
      </w:pPr>
      <w:r>
        <w:t>第四条</w:t>
      </w:r>
    </w:p>
    <w:p>
      <w:pPr>
        <w:pStyle w:val="8"/>
      </w:pPr>
      <w:r>
        <w:t>国家支持期货市场健康发展，发挥发现价格、管理风险、配置资源的功能。</w:t>
      </w:r>
    </w:p>
    <w:p>
      <w:pPr>
        <w:pStyle w:val="8"/>
      </w:pPr>
      <w:r>
        <w:t>国家鼓励利用期货市场和衍生品市场从事套期保值等风险管理活动。</w:t>
      </w:r>
    </w:p>
    <w:p>
      <w:pPr>
        <w:pStyle w:val="8"/>
      </w:pPr>
      <w:r>
        <w:t>国家采取措施推动农产品期货市场和衍生品市场发展，引导国内农产品生产经营。</w:t>
      </w:r>
    </w:p>
    <w:p>
      <w:pPr>
        <w:pStyle w:val="8"/>
      </w:pPr>
      <w:r>
        <w:t>本法所称套期保值，是指交易者为管理因其资产、负债等价值变化产生的风险而达成与上述资产、负债等基本吻合的期货交易和衍生品交易的活动。</w:t>
      </w:r>
    </w:p>
    <w:p>
      <w:pPr>
        <w:pStyle w:val="4"/>
      </w:pPr>
      <w:r>
        <w:t>第五条</w:t>
      </w:r>
    </w:p>
    <w:p>
      <w:pPr>
        <w:pStyle w:val="8"/>
      </w:pPr>
      <w:r>
        <w:t>期货市场和衍生品市场应当建立和完善风险的监测监控与化解处置制度机制，依法限制过度投机行为，防范市场系统性风险。</w:t>
      </w:r>
    </w:p>
    <w:p>
      <w:pPr>
        <w:pStyle w:val="4"/>
      </w:pPr>
      <w:r>
        <w:t>第六条</w:t>
      </w:r>
    </w:p>
    <w:p>
      <w:pPr>
        <w:pStyle w:val="8"/>
      </w:pPr>
      <w:r>
        <w:t>期货交易和衍生品交易活动，应当遵守法律、行政法规和国家有关规定，遵循公开、公平、公正的原则，禁止欺诈、操纵市场和内幕交易的行为。</w:t>
      </w:r>
    </w:p>
    <w:p>
      <w:pPr>
        <w:pStyle w:val="4"/>
      </w:pPr>
      <w:r>
        <w:t>第七条</w:t>
      </w:r>
    </w:p>
    <w:p>
      <w:pPr>
        <w:pStyle w:val="8"/>
      </w:pPr>
      <w:r>
        <w:t>参与期货交易和衍生品交易活动的各方具有平等的法律地位，应当遵守自愿、有偿、诚实信用的原则。</w:t>
      </w:r>
    </w:p>
    <w:p>
      <w:pPr>
        <w:pStyle w:val="4"/>
      </w:pPr>
      <w:r>
        <w:t>第八条</w:t>
      </w:r>
    </w:p>
    <w:p>
      <w:pPr>
        <w:pStyle w:val="8"/>
      </w:pPr>
      <w:r>
        <w:t>国务院期货监督管理机构依法对全国期货市场实行集中统一监督管理。国务院对利率、汇率期货的监督管理另有规定的，适用其规定。</w:t>
      </w:r>
    </w:p>
    <w:p>
      <w:pPr>
        <w:pStyle w:val="8"/>
      </w:pPr>
      <w:r>
        <w:t>衍生品市场由国务院期货监督管理机构或者国务院授权的部门按照职责分工实行监督管理。</w:t>
      </w:r>
    </w:p>
    <w:p>
      <w:pPr>
        <w:pStyle w:val="4"/>
      </w:pPr>
      <w:r>
        <w:t>第九条</w:t>
      </w:r>
    </w:p>
    <w:p>
      <w:pPr>
        <w:pStyle w:val="8"/>
      </w:pPr>
      <w:r>
        <w:t>期货和衍生品行业协会依法实行自律管理。</w:t>
      </w:r>
    </w:p>
    <w:p>
      <w:pPr>
        <w:pStyle w:val="4"/>
      </w:pPr>
      <w:r>
        <w:t>第十条</w:t>
      </w:r>
    </w:p>
    <w:p>
      <w:pPr>
        <w:pStyle w:val="8"/>
      </w:pPr>
      <w:r>
        <w:t>国家审计机关依法对期货经营机构、期货交易场所、期货结算机构、国务院期货监督管理机构进行审计监督。</w:t>
      </w:r>
    </w:p>
    <w:p>
      <w:pPr>
        <w:pStyle w:val="2"/>
      </w:pPr>
      <w:r>
        <w:t>第二章 期货交易和衍生品交易</w:t>
      </w:r>
    </w:p>
    <w:p>
      <w:pPr>
        <w:pStyle w:val="3"/>
      </w:pPr>
      <w:r>
        <w:t>第一节 一般规定</w:t>
      </w:r>
    </w:p>
    <w:p>
      <w:pPr>
        <w:pStyle w:val="4"/>
      </w:pPr>
      <w:r>
        <w:t>第十一条</w:t>
      </w:r>
    </w:p>
    <w:p>
      <w:pPr>
        <w:pStyle w:val="8"/>
      </w:pPr>
      <w:r>
        <w:t>期货交易应当在依法设立的期货交易所或者国务院期货监督管理机构依法批准组织开展期货交易的其他期货交易场所（以下统称期货交易场所），采用公开的集中交易方式或者国务院期货监督管理机构批准的其他方式进行。</w:t>
      </w:r>
    </w:p>
    <w:p>
      <w:pPr>
        <w:pStyle w:val="8"/>
      </w:pPr>
      <w:r>
        <w:t>禁止在期货交易场所之外进行期货交易。</w:t>
      </w:r>
    </w:p>
    <w:p>
      <w:pPr>
        <w:pStyle w:val="8"/>
      </w:pPr>
      <w:r>
        <w:t>衍生品交易，可以采用协议交易或者国务院规定的其他交易方式进行。</w:t>
      </w:r>
    </w:p>
    <w:p>
      <w:pPr>
        <w:pStyle w:val="4"/>
      </w:pPr>
      <w:r>
        <w:t>第十二条</w:t>
      </w:r>
    </w:p>
    <w:p>
      <w:pPr>
        <w:pStyle w:val="8"/>
      </w:pPr>
      <w:r>
        <w:t>任何单位和个人不得操纵期货市场或者衍生品市场。</w:t>
      </w:r>
    </w:p>
    <w:p>
      <w:pPr>
        <w:pStyle w:val="8"/>
      </w:pPr>
      <w:r>
        <w:t>禁止以下列手段操纵期货市场，影响或者意图影响期货交易价格或者期货交易量：</w:t>
      </w:r>
    </w:p>
    <w:p>
      <w:pPr>
        <w:pStyle w:val="8"/>
      </w:pPr>
      <w:r>
        <w:t>（一）单独或者合谋，集中资金优势、持仓优势或者利用信息优势联合或者连续买卖合约；</w:t>
      </w:r>
    </w:p>
    <w:p>
      <w:pPr>
        <w:pStyle w:val="8"/>
      </w:pPr>
      <w:r>
        <w:t>（二）与他人串通，以事先约定的时间、价格和方式相互进行期货交易；</w:t>
      </w:r>
    </w:p>
    <w:p>
      <w:pPr>
        <w:pStyle w:val="8"/>
      </w:pPr>
      <w:r>
        <w:t>（三）在自己实际控制的账户之间进行期货交易；</w:t>
      </w:r>
    </w:p>
    <w:p>
      <w:pPr>
        <w:pStyle w:val="8"/>
      </w:pPr>
      <w:r>
        <w:t>（四）利用虚假或者不确定的重大信息，诱导交易者进行期货交易；</w:t>
      </w:r>
    </w:p>
    <w:p>
      <w:pPr>
        <w:pStyle w:val="8"/>
      </w:pPr>
      <w:r>
        <w:t>（五）不以成交为目的，频繁或者大量申报并撤销申报；</w:t>
      </w:r>
    </w:p>
    <w:p>
      <w:pPr>
        <w:pStyle w:val="8"/>
      </w:pPr>
      <w:r>
        <w:t>（六）对相关期货交易或者合约标的物的交易作出公开评价、预测或者投资建议，并进行反向操作或者相关操作；</w:t>
      </w:r>
    </w:p>
    <w:p>
      <w:pPr>
        <w:pStyle w:val="8"/>
      </w:pPr>
      <w:r>
        <w:t>（七）为影响期货市场行情囤积现货；</w:t>
      </w:r>
    </w:p>
    <w:p>
      <w:pPr>
        <w:pStyle w:val="8"/>
      </w:pPr>
      <w:r>
        <w:t>（八）在交割月或者临近交割月，利用不正当手段规避持仓限额，形成持仓优势；</w:t>
      </w:r>
    </w:p>
    <w:p>
      <w:pPr>
        <w:pStyle w:val="8"/>
      </w:pPr>
      <w:r>
        <w:t>（九）利用在相关市场的活动操纵期货市场；</w:t>
      </w:r>
    </w:p>
    <w:p>
      <w:pPr>
        <w:pStyle w:val="8"/>
      </w:pPr>
      <w:r>
        <w:t>（十）操纵期货市场的其他手段。</w:t>
      </w:r>
    </w:p>
    <w:p>
      <w:pPr>
        <w:pStyle w:val="4"/>
      </w:pPr>
      <w:r>
        <w:t>第十三条</w:t>
      </w:r>
    </w:p>
    <w:p>
      <w:pPr>
        <w:pStyle w:val="8"/>
      </w:pPr>
      <w:r>
        <w:t>期货交易和衍生品交易的内幕信息的知情人和非法获取内幕信息的人，在内幕信息公开前不得从事相关期货交易或者衍生品交易，明示、暗示他人从事与内幕信息有关的期货交易或者衍生品交易，或者泄露内幕信息。</w:t>
      </w:r>
    </w:p>
    <w:p>
      <w:pPr>
        <w:pStyle w:val="4"/>
      </w:pPr>
      <w:r>
        <w:t>第十四条</w:t>
      </w:r>
    </w:p>
    <w:p>
      <w:pPr>
        <w:pStyle w:val="8"/>
      </w:pPr>
      <w:r>
        <w:t>本法所称内幕信息，是指可能对期货交易或者衍生品交易的交易价格产生重大影响的尚未公开的信息。</w:t>
      </w:r>
    </w:p>
    <w:p>
      <w:pPr>
        <w:pStyle w:val="8"/>
      </w:pPr>
      <w:r>
        <w:t>期货交易的内幕信息包括：</w:t>
      </w:r>
    </w:p>
    <w:p>
      <w:pPr>
        <w:pStyle w:val="8"/>
      </w:pPr>
      <w:r>
        <w:t>（一）国务院期货监督管理机构以及其他相关部门正在制定或者尚未发布的对期货交易价格可能产生重大影响的政策、信息或者数据；</w:t>
      </w:r>
    </w:p>
    <w:p>
      <w:pPr>
        <w:pStyle w:val="8"/>
      </w:pPr>
      <w:r>
        <w:t>（二）期货交易场所、期货结算机构作出的可能对期货交易价格产生重大影响的决定；</w:t>
      </w:r>
    </w:p>
    <w:p>
      <w:pPr>
        <w:pStyle w:val="8"/>
      </w:pPr>
      <w:r>
        <w:t>（三）期货交易场所会员、交易者的资金和交易动向；</w:t>
      </w:r>
    </w:p>
    <w:p>
      <w:pPr>
        <w:pStyle w:val="8"/>
      </w:pPr>
      <w:r>
        <w:t>（四）相关市场中的重大异常交易信息；</w:t>
      </w:r>
    </w:p>
    <w:p>
      <w:pPr>
        <w:pStyle w:val="8"/>
      </w:pPr>
      <w:r>
        <w:t>（五）国务院期货监督管理机构规定的对期货交易价格有重大影响的其他信息。</w:t>
      </w:r>
    </w:p>
    <w:p>
      <w:pPr>
        <w:pStyle w:val="4"/>
      </w:pPr>
      <w:r>
        <w:t>第十五条</w:t>
      </w:r>
    </w:p>
    <w:p>
      <w:pPr>
        <w:pStyle w:val="8"/>
      </w:pPr>
      <w:r>
        <w:t>本法所称内幕信息的知情人，是指由于经营地位、管理地位、监督地位或者职务便利等，能够接触或者获得内幕信息的单位和个人。</w:t>
      </w:r>
    </w:p>
    <w:p>
      <w:pPr>
        <w:pStyle w:val="8"/>
      </w:pPr>
      <w:r>
        <w:t>期货交易的内幕信息的知情人包括：</w:t>
      </w:r>
    </w:p>
    <w:p>
      <w:pPr>
        <w:pStyle w:val="8"/>
      </w:pPr>
      <w:r>
        <w:t>（一）期货经营机构、期货交易场所、期货结算机构、期货服务机构的有关人员；</w:t>
      </w:r>
    </w:p>
    <w:p>
      <w:pPr>
        <w:pStyle w:val="8"/>
      </w:pPr>
      <w:r>
        <w:t>（二）国务院期货监督管理机构和其他有关部门的工作人员；</w:t>
      </w:r>
    </w:p>
    <w:p>
      <w:pPr>
        <w:pStyle w:val="8"/>
      </w:pPr>
      <w:r>
        <w:t>（三）国务院期货监督管理机构规定的可以获取内幕信息的其他单位和个人。</w:t>
      </w:r>
    </w:p>
    <w:p>
      <w:pPr>
        <w:pStyle w:val="4"/>
      </w:pPr>
      <w:r>
        <w:t>第十六条</w:t>
      </w:r>
    </w:p>
    <w:p>
      <w:pPr>
        <w:pStyle w:val="8"/>
      </w:pPr>
      <w:r>
        <w:t>禁止任何单位和个人编造、传播虚假信息或者误导性信息，扰乱期货市场和衍生品市场。</w:t>
      </w:r>
    </w:p>
    <w:p>
      <w:pPr>
        <w:pStyle w:val="8"/>
      </w:pPr>
      <w:r>
        <w:t>禁止期货经营机构、期货交易场所、期货结算机构、期货服务机构及其从业人员，组织、开展衍生品交易的场所、机构及其从业人员，期货和衍生品行业协会、国务院期货监督管理机构、国务院授权的部门及其工作人员，在期货交易和衍生品交易及相关活动中作出虚假陈述或者信息误导。</w:t>
      </w:r>
    </w:p>
    <w:p>
      <w:pPr>
        <w:pStyle w:val="8"/>
      </w:pPr>
      <w:r>
        <w:t>各种传播媒介传播期货市场和衍生品市场信息应当真实、客观，禁止误导。传播媒介及其从事期货市场和衍生品市场信息报道的工作人员不得从事与其工作职责发生利益冲突的期货交易和衍生品交易及相关活动。</w:t>
      </w:r>
    </w:p>
    <w:p>
      <w:pPr>
        <w:pStyle w:val="3"/>
      </w:pPr>
      <w:r>
        <w:t>第二节 期货交易</w:t>
      </w:r>
    </w:p>
    <w:p>
      <w:pPr>
        <w:pStyle w:val="4"/>
      </w:pPr>
      <w:r>
        <w:t>第十七条</w:t>
      </w:r>
    </w:p>
    <w:p>
      <w:pPr>
        <w:pStyle w:val="8"/>
      </w:pPr>
      <w:r>
        <w:t>期货合约品种和标准化期权合约品种的上市应当符合国务院期货监督管理机构的规定，由期货交易场所依法报经国务院期货监督管理机构注册。</w:t>
      </w:r>
    </w:p>
    <w:p>
      <w:pPr>
        <w:pStyle w:val="8"/>
      </w:pPr>
      <w:r>
        <w:t>期货合约品种和标准化期权合约品种的中止上市、恢复上市、终止上市应当符合国务院期货监督管理机构的规定，由期货交易场所决定并向国务院期货监督管理机构备案。</w:t>
      </w:r>
    </w:p>
    <w:p>
      <w:pPr>
        <w:pStyle w:val="8"/>
      </w:pPr>
      <w:r>
        <w:t>期货合约品种和标准化期权合约品种应当具有经济价值，合约不易被操纵，符合社会公共利益。</w:t>
      </w:r>
    </w:p>
    <w:p>
      <w:pPr>
        <w:pStyle w:val="4"/>
      </w:pPr>
      <w:r>
        <w:t>第十八条</w:t>
      </w:r>
    </w:p>
    <w:p>
      <w:pPr>
        <w:pStyle w:val="8"/>
      </w:pPr>
      <w:r>
        <w:t>期货交易实行账户实名制。交易者进行期货交易的，应当持有证明身份的合法证件，以本人名义申请开立账户。</w:t>
      </w:r>
    </w:p>
    <w:p>
      <w:pPr>
        <w:pStyle w:val="8"/>
      </w:pPr>
      <w:r>
        <w:t>任何单位和个人不得违反规定，出借自己的期货账户或者借用他人的期货账户从事期货交易。</w:t>
      </w:r>
    </w:p>
    <w:p>
      <w:pPr>
        <w:pStyle w:val="4"/>
      </w:pPr>
      <w:r>
        <w:t>第十九条</w:t>
      </w:r>
    </w:p>
    <w:p>
      <w:pPr>
        <w:pStyle w:val="8"/>
      </w:pPr>
      <w:r>
        <w:t>在期货交易场所进行期货交易的，应当是期货交易场所会员或者符合国务院期货监督管理机构规定的其他参与者。</w:t>
      </w:r>
    </w:p>
    <w:p>
      <w:pPr>
        <w:pStyle w:val="4"/>
      </w:pPr>
      <w:r>
        <w:t>第二十条</w:t>
      </w:r>
    </w:p>
    <w:p>
      <w:pPr>
        <w:pStyle w:val="8"/>
      </w:pPr>
      <w:r>
        <w:t>交易者委托期货经营机构进行交易的，可以通过书面、电话、自助终端、网络等方式下达交易指令。交易指令应当明确、具体、全面。</w:t>
      </w:r>
    </w:p>
    <w:p>
      <w:pPr>
        <w:pStyle w:val="4"/>
      </w:pPr>
      <w:r>
        <w:t>第二十一条</w:t>
      </w:r>
    </w:p>
    <w:p>
      <w:pPr>
        <w:pStyle w:val="8"/>
      </w:pPr>
      <w:r>
        <w:t>通过计算机程序自动生成或者下达交易指令进行程序化交易的，应当符合国务院期货监督管理机构的规定，并向期货交易场所报告，不得影响期货交易场所系统安全或者正常交易秩序。</w:t>
      </w:r>
    </w:p>
    <w:p>
      <w:pPr>
        <w:pStyle w:val="4"/>
      </w:pPr>
      <w:r>
        <w:t>第二十二条</w:t>
      </w:r>
    </w:p>
    <w:p>
      <w:pPr>
        <w:pStyle w:val="8"/>
      </w:pPr>
      <w:r>
        <w:t>期货交易实行保证金制度，期货结算机构向结算参与人收取保证金，结算参与人向交易者收取保证金。保证金用于结算和履约保障。</w:t>
      </w:r>
    </w:p>
    <w:p>
      <w:pPr>
        <w:pStyle w:val="8"/>
      </w:pPr>
      <w:r>
        <w:t>保证金的形式包括现金，国债、股票、基金份额、标准仓单等流动性强的有价证券，以及国务院期货监督管理机构规定的其他财产。以有价证券等作为保证金的，可以依法通过质押等具有履约保障功能的方式进行。</w:t>
      </w:r>
    </w:p>
    <w:p>
      <w:pPr>
        <w:pStyle w:val="8"/>
      </w:pPr>
      <w:r>
        <w:t>期货结算机构、结算参与人收取的保证金的形式、比例等应当符合国务院期货监督管理机构的规定。</w:t>
      </w:r>
    </w:p>
    <w:p>
      <w:pPr>
        <w:pStyle w:val="8"/>
      </w:pPr>
      <w:r>
        <w:t>交易者进行标准化期权合约交易的，卖方应当缴纳保证金，买方应当支付权利金。</w:t>
      </w:r>
    </w:p>
    <w:p>
      <w:pPr>
        <w:pStyle w:val="8"/>
      </w:pPr>
      <w:r>
        <w:t>前款所称权利金是指买方支付的用于购买标准化期权合约的资金。</w:t>
      </w:r>
    </w:p>
    <w:p>
      <w:pPr>
        <w:pStyle w:val="4"/>
      </w:pPr>
      <w:r>
        <w:t>第二十三条</w:t>
      </w:r>
    </w:p>
    <w:p>
      <w:pPr>
        <w:pStyle w:val="8"/>
      </w:pPr>
      <w:r>
        <w:t>期货交易实行持仓限额制度，防范合约持仓过度集中的风险。</w:t>
      </w:r>
    </w:p>
    <w:p>
      <w:pPr>
        <w:pStyle w:val="8"/>
      </w:pPr>
      <w:r>
        <w:t>从事套期保值等风险管理活动的，可以申请持仓限额豁免。</w:t>
      </w:r>
    </w:p>
    <w:p>
      <w:pPr>
        <w:pStyle w:val="8"/>
      </w:pPr>
      <w:r>
        <w:t>持仓限额、套期保值的管理办法由国务院期货监督管理机构制定。</w:t>
      </w:r>
    </w:p>
    <w:p>
      <w:pPr>
        <w:pStyle w:val="4"/>
      </w:pPr>
      <w:r>
        <w:t>第二十四条</w:t>
      </w:r>
    </w:p>
    <w:p>
      <w:pPr>
        <w:pStyle w:val="8"/>
      </w:pPr>
      <w:r>
        <w:t>期货交易实行交易者实际控制关系报备管理制度。交易者应当按照国务院期货监督管理机构的规定向期货经营机构或者期货交易场所报备实际控制关系。</w:t>
      </w:r>
    </w:p>
    <w:p>
      <w:pPr>
        <w:pStyle w:val="4"/>
      </w:pPr>
      <w:r>
        <w:t>第二十五条</w:t>
      </w:r>
    </w:p>
    <w:p>
      <w:pPr>
        <w:pStyle w:val="8"/>
      </w:pPr>
      <w:r>
        <w:t>期货交易的收费应当合理，收费项目、收费标准和管理办法应当公开。</w:t>
      </w:r>
    </w:p>
    <w:p>
      <w:pPr>
        <w:pStyle w:val="4"/>
      </w:pPr>
      <w:r>
        <w:t>第二十六条</w:t>
      </w:r>
    </w:p>
    <w:p>
      <w:pPr>
        <w:pStyle w:val="8"/>
      </w:pPr>
      <w:r>
        <w:t>依照期货交易场所依法制定的业务规则进行的交易，不得改变其交易结果，本法第八十九条第二款规定的除外。</w:t>
      </w:r>
    </w:p>
    <w:p>
      <w:pPr>
        <w:pStyle w:val="4"/>
      </w:pPr>
      <w:r>
        <w:t>第二十七条</w:t>
      </w:r>
    </w:p>
    <w:p>
      <w:pPr>
        <w:pStyle w:val="8"/>
      </w:pPr>
      <w:r>
        <w:t>期货交易场所会员和交易者应当按照国务院期货监督管理机构的规定，报告有关交易、持仓、保证金等重大事项。</w:t>
      </w:r>
    </w:p>
    <w:p>
      <w:pPr>
        <w:pStyle w:val="4"/>
      </w:pPr>
      <w:r>
        <w:t>第二十八条</w:t>
      </w:r>
    </w:p>
    <w:p>
      <w:pPr>
        <w:pStyle w:val="8"/>
      </w:pPr>
      <w:r>
        <w:t>任何单位和个人不得违规使用信贷资金、财政资金进行期货交易。</w:t>
      </w:r>
    </w:p>
    <w:p>
      <w:pPr>
        <w:pStyle w:val="4"/>
      </w:pPr>
      <w:r>
        <w:t>第二十九条</w:t>
      </w:r>
    </w:p>
    <w:p>
      <w:pPr>
        <w:pStyle w:val="8"/>
      </w:pPr>
      <w:r>
        <w:t>期货经营机构、期货交易场所、期货结算机构、期货服务机构等机构及其从业人员对发现的禁止的交易行为，应当及时向国务院期货监督管理机构报告。</w:t>
      </w:r>
    </w:p>
    <w:p>
      <w:pPr>
        <w:pStyle w:val="3"/>
      </w:pPr>
      <w:r>
        <w:t>第三节 衍生品交易</w:t>
      </w:r>
    </w:p>
    <w:p>
      <w:pPr>
        <w:pStyle w:val="4"/>
      </w:pPr>
      <w:r>
        <w:t>第三十条</w:t>
      </w:r>
    </w:p>
    <w:p>
      <w:pPr>
        <w:pStyle w:val="8"/>
      </w:pPr>
      <w:r>
        <w:t>依法设立的场所，经国务院授权的部门或者国务院期货监督管理机构审批，可以组织开展衍生品交易。</w:t>
      </w:r>
    </w:p>
    <w:p>
      <w:pPr>
        <w:pStyle w:val="8"/>
      </w:pPr>
      <w:r>
        <w:t>组织开展衍生品交易的场所制定的交易规则，应当公平保护交易参与各方合法权益和防范市场风险，并报国务院授权的部门或者国务院期货监督管理机构批准。</w:t>
      </w:r>
    </w:p>
    <w:p>
      <w:pPr>
        <w:pStyle w:val="4"/>
      </w:pPr>
      <w:r>
        <w:t>第三十一条</w:t>
      </w:r>
    </w:p>
    <w:p>
      <w:pPr>
        <w:pStyle w:val="8"/>
      </w:pPr>
      <w:r>
        <w:t>金融机构开展衍生品交易业务，应当依法经过批准或者核准，履行交易者适当性管理义务，并应当遵守国家有关监督管理规定。</w:t>
      </w:r>
    </w:p>
    <w:p>
      <w:pPr>
        <w:pStyle w:val="4"/>
      </w:pPr>
      <w:r>
        <w:t>第三十二条</w:t>
      </w:r>
    </w:p>
    <w:p>
      <w:pPr>
        <w:pStyle w:val="8"/>
      </w:pPr>
      <w:r>
        <w:t>衍生品交易采用主协议方式的，主协议、主协议项下的全部补充协议以及交易双方就各项具体交易作出的约定等，共同构成交易双方之间一个完整的单一协议，具有法律约束力。</w:t>
      </w:r>
    </w:p>
    <w:p>
      <w:pPr>
        <w:pStyle w:val="4"/>
      </w:pPr>
      <w:r>
        <w:t>第三十三条</w:t>
      </w:r>
    </w:p>
    <w:p>
      <w:pPr>
        <w:pStyle w:val="8"/>
      </w:pPr>
      <w:r>
        <w:t>本法第三十二条规定的主协议等合同范本，应当按照国务院授权的部门或者国务院期货监督管理机构的规定报送备案。</w:t>
      </w:r>
    </w:p>
    <w:p>
      <w:pPr>
        <w:pStyle w:val="4"/>
      </w:pPr>
      <w:r>
        <w:t>第三十四条</w:t>
      </w:r>
    </w:p>
    <w:p>
      <w:pPr>
        <w:pStyle w:val="8"/>
      </w:pPr>
      <w:r>
        <w:t>进行衍生品交易，可以依法通过质押等方式提供履约保障。</w:t>
      </w:r>
    </w:p>
    <w:p>
      <w:pPr>
        <w:pStyle w:val="4"/>
      </w:pPr>
      <w:r>
        <w:t>第三十五条</w:t>
      </w:r>
    </w:p>
    <w:p>
      <w:pPr>
        <w:pStyle w:val="8"/>
      </w:pPr>
      <w:r>
        <w:t>依法采用主协议方式从事衍生品交易的，发生约定的情形时，可以依照协议约定终止交易，并按净额对协议项下的全部交易盈亏进行结算。</w:t>
      </w:r>
    </w:p>
    <w:p>
      <w:pPr>
        <w:pStyle w:val="8"/>
      </w:pPr>
      <w:r>
        <w:t>依照前款规定进行的净额结算，不因交易任何一方依法进入破产程序而中止、无效或者撤销。</w:t>
      </w:r>
    </w:p>
    <w:p>
      <w:pPr>
        <w:pStyle w:val="4"/>
      </w:pPr>
      <w:r>
        <w:t>第三十六条</w:t>
      </w:r>
    </w:p>
    <w:p>
      <w:pPr>
        <w:pStyle w:val="8"/>
      </w:pPr>
      <w:r>
        <w:t>国务院授权的部门、国务院期货监督管理机构应当建立衍生品交易报告库，对衍生品交易标的、规模、对手方等信息进行集中收集、保存、分析和管理，并按照规定及时向市场披露有关信息。具体办法由国务院授权的部门、国务院期货监督管理机构规定。</w:t>
      </w:r>
    </w:p>
    <w:p>
      <w:pPr>
        <w:pStyle w:val="4"/>
      </w:pPr>
      <w:r>
        <w:t>第三十七条</w:t>
      </w:r>
    </w:p>
    <w:p>
      <w:pPr>
        <w:pStyle w:val="8"/>
      </w:pPr>
      <w:r>
        <w:t>衍生品交易，由国务院授权的部门或者国务院期货监督管理机构批准的结算机构作为中央对手方进行集中结算的，可以依法进行终止净额结算；结算财产应当优先用于结算和交割，不得被查封、冻结、扣押或者强制执行；在结算和交割完成前，任何人不得动用。</w:t>
      </w:r>
    </w:p>
    <w:p>
      <w:pPr>
        <w:pStyle w:val="8"/>
      </w:pPr>
      <w:r>
        <w:t>依法进行的集中结算，不因参与结算的任何一方依法进入破产程序而中止、无效或者撤销。</w:t>
      </w:r>
    </w:p>
    <w:p>
      <w:pPr>
        <w:pStyle w:val="4"/>
      </w:pPr>
      <w:r>
        <w:t>第三十八条</w:t>
      </w:r>
    </w:p>
    <w:p>
      <w:pPr>
        <w:pStyle w:val="8"/>
      </w:pPr>
      <w:r>
        <w:t>对衍生品交易及相关活动进行规范和监督管理的具体办法，由国务院依照本法的原则规定。</w:t>
      </w:r>
    </w:p>
    <w:p>
      <w:pPr>
        <w:pStyle w:val="2"/>
      </w:pPr>
      <w:r>
        <w:t>第三章 期货结算与交割</w:t>
      </w:r>
    </w:p>
    <w:p>
      <w:pPr>
        <w:pStyle w:val="4"/>
      </w:pPr>
      <w:r>
        <w:t>第三十九条</w:t>
      </w:r>
    </w:p>
    <w:p>
      <w:pPr>
        <w:pStyle w:val="8"/>
      </w:pPr>
      <w:r>
        <w:t>期货交易实行当日无负债结算制度。在期货交易场所规定的时间，期货结算机构应当在当日按照结算价对结算参与人进行结算；结算参与人应当根据期货结算机构的结算结果对交易者进行结算。结算结果应当在当日及时通知结算参与人和交易者。</w:t>
      </w:r>
    </w:p>
    <w:p>
      <w:pPr>
        <w:pStyle w:val="4"/>
      </w:pPr>
      <w:r>
        <w:t>第四十条</w:t>
      </w:r>
    </w:p>
    <w:p>
      <w:pPr>
        <w:pStyle w:val="8"/>
      </w:pPr>
      <w:r>
        <w:t>期货结算机构、结算参与人收取的保证金、权利金等，应当与其自有资金分开，按照国务院期货监督管理机构的规定，在期货保证金存管机构专户存放，分别管理，禁止违规挪用。</w:t>
      </w:r>
    </w:p>
    <w:p>
      <w:pPr>
        <w:pStyle w:val="4"/>
      </w:pPr>
      <w:r>
        <w:t>第四十一条</w:t>
      </w:r>
    </w:p>
    <w:p>
      <w:pPr>
        <w:pStyle w:val="8"/>
      </w:pPr>
      <w:r>
        <w:t>结算参与人的保证金不符合期货结算机构业务规则规定标准的，期货结算机构应当按照业务规则的规定通知结算参与人在规定时间内追加保证金或者自行平仓；结算参与人未在规定时间内追加保证金或者自行平仓的，通知期货交易场所强行平仓。</w:t>
      </w:r>
    </w:p>
    <w:p>
      <w:pPr>
        <w:pStyle w:val="8"/>
      </w:pPr>
      <w:r>
        <w:t>交易者的保证金不符合结算参与人与交易者约定标准的，结算参与人应当按照约定通知交易者在约定时间内追加保证金或者自行平仓；交易者未在约定时间内追加保证金或者自行平仓的，按照约定强行平仓。</w:t>
      </w:r>
    </w:p>
    <w:p>
      <w:pPr>
        <w:pStyle w:val="8"/>
      </w:pPr>
      <w:r>
        <w:t>以有价证券等作为保证金，期货结算机构、结算参与人按照前两款规定强行平仓的，可以对有价证券等进行处置。</w:t>
      </w:r>
    </w:p>
    <w:p>
      <w:pPr>
        <w:pStyle w:val="4"/>
      </w:pPr>
      <w:r>
        <w:t>第四十二条</w:t>
      </w:r>
    </w:p>
    <w:p>
      <w:pPr>
        <w:pStyle w:val="8"/>
      </w:pPr>
      <w:r>
        <w:t>结算参与人在结算过程中违约的，期货结算机构按照业务规则动用结算参与人的保证金、结算担保金以及结算机构的风险准备金、自有资金等完成结算；期货结算机构以其风险准备金、自有资金等完成结算的，可以依法对该结算参与人进行追偿。</w:t>
      </w:r>
    </w:p>
    <w:p>
      <w:pPr>
        <w:pStyle w:val="8"/>
      </w:pPr>
      <w:r>
        <w:t>交易者在结算过程中违约的，其委托的结算参与人按照合同约定动用该交易者的保证金以及结算参与人的风险准备金和自有资金完成结算；结算参与人以其风险准备金和自有资金完成结算的，可以依法对该交易者进行追偿。</w:t>
      </w:r>
    </w:p>
    <w:p>
      <w:pPr>
        <w:pStyle w:val="8"/>
      </w:pPr>
      <w:r>
        <w:t>本法所称结算担保金，是指结算参与人以自有资金向期货结算机构缴纳的，用于担保履约的资金。</w:t>
      </w:r>
    </w:p>
    <w:p>
      <w:pPr>
        <w:pStyle w:val="4"/>
      </w:pPr>
      <w:r>
        <w:t>第四十三条</w:t>
      </w:r>
    </w:p>
    <w:p>
      <w:pPr>
        <w:pStyle w:val="8"/>
      </w:pPr>
      <w:r>
        <w:t>期货结算机构依照其业务规则收取和提取的保证金、权利金、结算担保金、风险准备金等资产，应当优先用于结算和交割，不得被查封、冻结、扣押或者强制执行。</w:t>
      </w:r>
    </w:p>
    <w:p>
      <w:pPr>
        <w:pStyle w:val="8"/>
      </w:pPr>
      <w:r>
        <w:t>在结算和交割完成之前，任何人不得动用用于担保履约和交割的保证金、进入交割环节的交割财产。</w:t>
      </w:r>
    </w:p>
    <w:p>
      <w:pPr>
        <w:pStyle w:val="8"/>
      </w:pPr>
      <w:r>
        <w:t>依法进行的结算和交割，不因参与结算的任何一方依法进入破产程序而中止、无效或者撤销。</w:t>
      </w:r>
    </w:p>
    <w:p>
      <w:pPr>
        <w:pStyle w:val="4"/>
      </w:pPr>
      <w:r>
        <w:t>第四十四条</w:t>
      </w:r>
    </w:p>
    <w:p>
      <w:pPr>
        <w:pStyle w:val="8"/>
      </w:pPr>
      <w:r>
        <w:t>期货合约到期时，交易者应当通过实物交割或者现金交割，了结到期未平仓合约。</w:t>
      </w:r>
    </w:p>
    <w:p>
      <w:pPr>
        <w:pStyle w:val="8"/>
      </w:pPr>
      <w:r>
        <w:t>在标准化期权合约规定的时间，合约的买方有权以约定的价格买入或者卖出标的物，或者按照约定进行现金差价结算，合约的卖方应当按照约定履行相应的义务。标准化期权合约的行权，由期货结算机构组织进行。</w:t>
      </w:r>
    </w:p>
    <w:p>
      <w:pPr>
        <w:pStyle w:val="4"/>
      </w:pPr>
      <w:r>
        <w:t>第四十五条</w:t>
      </w:r>
    </w:p>
    <w:p>
      <w:pPr>
        <w:pStyle w:val="8"/>
      </w:pPr>
      <w:r>
        <w:t>期货合约采取实物交割的，由期货结算机构负责组织货款与标准仓单等合约标的物权利凭证的交付。</w:t>
      </w:r>
    </w:p>
    <w:p>
      <w:pPr>
        <w:pStyle w:val="8"/>
      </w:pPr>
      <w:r>
        <w:t>期货合约采取现金交割的，由期货结算机构以交割结算价为基础，划付持仓双方的盈亏款项。</w:t>
      </w:r>
    </w:p>
    <w:p>
      <w:pPr>
        <w:pStyle w:val="8"/>
      </w:pPr>
      <w:r>
        <w:t>本法所称标准仓单，是指交割库开具并经期货交易场所登记的标准化提货凭证。</w:t>
      </w:r>
    </w:p>
    <w:p>
      <w:pPr>
        <w:pStyle w:val="4"/>
      </w:pPr>
      <w:r>
        <w:t>第四十六条</w:t>
      </w:r>
    </w:p>
    <w:p>
      <w:pPr>
        <w:pStyle w:val="8"/>
      </w:pPr>
      <w:r>
        <w:t>期货交易的实物交割在期货交易场所指定的交割库、交割港口或者其他符合期货交易场所要求的地点进行。实物交割不得限制交割总量。采用标准仓单以外的单据凭证或者其他方式进行实物交割的，期货交易场所应当明确规定交割各方的权利和义务。</w:t>
      </w:r>
    </w:p>
    <w:p>
      <w:pPr>
        <w:pStyle w:val="4"/>
      </w:pPr>
      <w:r>
        <w:t>第四十七条</w:t>
      </w:r>
    </w:p>
    <w:p>
      <w:pPr>
        <w:pStyle w:val="8"/>
      </w:pPr>
      <w:r>
        <w:t>结算参与人在交割过程中违约的，期货结算机构有权对结算参与人的标准仓单等合约标的物权利凭证进行处置。</w:t>
      </w:r>
    </w:p>
    <w:p>
      <w:pPr>
        <w:pStyle w:val="8"/>
      </w:pPr>
      <w:r>
        <w:t>交易者在交割过程中违约的，结算参与人有权对交易者的标准仓单等合约标的物权利凭证进行处置。</w:t>
      </w:r>
    </w:p>
    <w:p>
      <w:pPr>
        <w:pStyle w:val="4"/>
      </w:pPr>
      <w:r>
        <w:t>第四十八条</w:t>
      </w:r>
    </w:p>
    <w:p>
      <w:pPr>
        <w:pStyle w:val="8"/>
      </w:pPr>
      <w:r>
        <w:t>不符合结算参与人条件的期货经营机构可以委托结算参与人代为其客户进行结算。不符合结算参与人条件的期货经营机构与结算参与人、交易者之间的权利义务关系，参照本章关于结算参与人与交易者之间权利义务的规定执行。</w:t>
      </w:r>
    </w:p>
    <w:p>
      <w:pPr>
        <w:pStyle w:val="2"/>
      </w:pPr>
      <w:r>
        <w:t>第四章 期货交易者</w:t>
      </w:r>
    </w:p>
    <w:p>
      <w:pPr>
        <w:pStyle w:val="4"/>
      </w:pPr>
      <w:r>
        <w:t>第四十九条</w:t>
      </w:r>
    </w:p>
    <w:p>
      <w:pPr>
        <w:pStyle w:val="8"/>
      </w:pPr>
      <w:r>
        <w:t>期货交易者是指依照本法从事期货交易，承担交易结果的自然人、法人和非法人组织。</w:t>
      </w:r>
    </w:p>
    <w:p>
      <w:pPr>
        <w:pStyle w:val="8"/>
      </w:pPr>
      <w:r>
        <w:t>期货交易者从事期货交易，除国务院期货监督管理机构另有规定外，应当委托期货经营机构进行。</w:t>
      </w:r>
    </w:p>
    <w:p>
      <w:pPr>
        <w:pStyle w:val="4"/>
      </w:pPr>
      <w:r>
        <w:t>第五十条</w:t>
      </w:r>
    </w:p>
    <w:p>
      <w:pPr>
        <w:pStyle w:val="8"/>
      </w:pPr>
      <w:r>
        <w:t>期货经营机构向交易者提供服务时，应当按照规定充分了解交易者的基本情况、财产状况、金融资产状况、交易知识和经验、专业能力等相关信息；如实说明服务的重要内容，充分揭示交易风险；提供与交易者上述状况相匹配的服务。</w:t>
      </w:r>
    </w:p>
    <w:p>
      <w:pPr>
        <w:pStyle w:val="8"/>
      </w:pPr>
      <w:r>
        <w:t>交易者在参与期货交易和接受服务时，应当按照期货经营机构明示的要求提供前款所列真实信息。拒绝提供或者未按照要求提供信息的，期货经营机构应当告知其后果，并按照规定拒绝提供服务。</w:t>
      </w:r>
    </w:p>
    <w:p>
      <w:pPr>
        <w:pStyle w:val="8"/>
      </w:pPr>
      <w:r>
        <w:t>期货经营机构违反第一款规定导致交易者损失的，应当承担相应的赔偿责任。</w:t>
      </w:r>
    </w:p>
    <w:p>
      <w:pPr>
        <w:pStyle w:val="4"/>
      </w:pPr>
      <w:r>
        <w:t>第五十一条</w:t>
      </w:r>
    </w:p>
    <w:p>
      <w:pPr>
        <w:pStyle w:val="8"/>
      </w:pPr>
      <w:r>
        <w:t>根据财产状况、金融资产状况、交易知识和经验、专业能力等因素，交易者可以分为普通交易者和专业交易者。专业交易者的标准由国务院期货监督管理机构规定。</w:t>
      </w:r>
    </w:p>
    <w:p>
      <w:pPr>
        <w:pStyle w:val="8"/>
      </w:pPr>
      <w:r>
        <w:t>普通交易者与期货经营机构发生纠纷的，期货经营机构应当证明其行为符合法律、行政法规以及国务院期货监督管理机构的规定，不存在误导、欺诈等情形。期货经营机构不能证明的，应当承担相应的赔偿责任。</w:t>
      </w:r>
    </w:p>
    <w:p>
      <w:pPr>
        <w:pStyle w:val="4"/>
      </w:pPr>
      <w:r>
        <w:t>第五十二条</w:t>
      </w:r>
    </w:p>
    <w:p>
      <w:pPr>
        <w:pStyle w:val="8"/>
      </w:pPr>
      <w:r>
        <w:t>参与期货交易的法人和非法人组织，应当建立与其交易合约类型、规模、目的等相适应的内部控制制度和风险控制制度。</w:t>
      </w:r>
    </w:p>
    <w:p>
      <w:pPr>
        <w:pStyle w:val="4"/>
      </w:pPr>
      <w:r>
        <w:t>第五十三条</w:t>
      </w:r>
    </w:p>
    <w:p>
      <w:pPr>
        <w:pStyle w:val="8"/>
      </w:pPr>
      <w:r>
        <w:t>期货经营机构、期货交易场所、期货结算机构的从业人员，国务院期货监督管理机构、期货业协会的工作人员，以及法律、行政法规和国务院期货监督管理机构规定禁止参与期货交易的其他人员，不得进行期货交易。</w:t>
      </w:r>
    </w:p>
    <w:p>
      <w:pPr>
        <w:pStyle w:val="4"/>
      </w:pPr>
      <w:r>
        <w:t>第五十四条</w:t>
      </w:r>
    </w:p>
    <w:p>
      <w:pPr>
        <w:pStyle w:val="8"/>
      </w:pPr>
      <w:r>
        <w:t>交易者有权查询其委托记录、交易记录、保证金余额、与其接受服务有关的其他重要信息。</w:t>
      </w:r>
    </w:p>
    <w:p>
      <w:pPr>
        <w:pStyle w:val="4"/>
      </w:pPr>
      <w:r>
        <w:t>第五十五条</w:t>
      </w:r>
    </w:p>
    <w:p>
      <w:pPr>
        <w:pStyle w:val="8"/>
      </w:pPr>
      <w:r>
        <w:t>期货经营机构、期货交易场所、期货结算机构、期货服务机构及其工作人员应当依法为交易者的信息保密，不得非法买卖、提供或者公开交易者的信息。</w:t>
      </w:r>
    </w:p>
    <w:p>
      <w:pPr>
        <w:pStyle w:val="8"/>
      </w:pPr>
      <w:r>
        <w:t>期货经营机构、期货交易场所、期货结算机构、期货服务机构及其工作人员不得泄露所知悉的商业秘密。</w:t>
      </w:r>
    </w:p>
    <w:p>
      <w:pPr>
        <w:pStyle w:val="4"/>
      </w:pPr>
      <w:r>
        <w:t>第五十六条</w:t>
      </w:r>
    </w:p>
    <w:p>
      <w:pPr>
        <w:pStyle w:val="8"/>
      </w:pPr>
      <w:r>
        <w:t>交易者与期货经营机构等发生纠纷的，双方可以向行业协会等申请调解。普通交易者与期货经营机构发生期货业务纠纷并提出调解请求的，期货经营机构不得拒绝。</w:t>
      </w:r>
    </w:p>
    <w:p>
      <w:pPr>
        <w:pStyle w:val="4"/>
      </w:pPr>
      <w:r>
        <w:t>第五十七条</w:t>
      </w:r>
    </w:p>
    <w:p>
      <w:pPr>
        <w:pStyle w:val="8"/>
      </w:pPr>
      <w:r>
        <w:t>交易者提起操纵市场、内幕交易等期货民事赔偿诉讼时，诉讼标的是同一种类，且当事人一方人数众多的，可以依法推选代表人进行诉讼。</w:t>
      </w:r>
    </w:p>
    <w:p>
      <w:pPr>
        <w:pStyle w:val="4"/>
      </w:pPr>
      <w:r>
        <w:t>第五十八条</w:t>
      </w:r>
    </w:p>
    <w:p>
      <w:pPr>
        <w:pStyle w:val="8"/>
      </w:pPr>
      <w:r>
        <w:t>国家设立期货交易者保障基金。期货交易者保障基金的筹集、管理和使用的具体办法，由国务院期货监督管理机构会同国务院财政部门制定。</w:t>
      </w:r>
    </w:p>
    <w:p>
      <w:pPr>
        <w:pStyle w:val="2"/>
      </w:pPr>
      <w:r>
        <w:t>第五章 期货经营机构</w:t>
      </w:r>
    </w:p>
    <w:p>
      <w:pPr>
        <w:pStyle w:val="4"/>
      </w:pPr>
      <w:r>
        <w:t>第五十九条</w:t>
      </w:r>
    </w:p>
    <w:p>
      <w:pPr>
        <w:pStyle w:val="8"/>
      </w:pPr>
      <w:r>
        <w:t>期货经营机构是指依照《中华人民共和国公司法》和本法设立的期货公司以及国务院期货监督管理机构核准从事期货业务的其他机构。</w:t>
      </w:r>
    </w:p>
    <w:p>
      <w:pPr>
        <w:pStyle w:val="4"/>
      </w:pPr>
      <w:r>
        <w:t>第六十条</w:t>
      </w:r>
    </w:p>
    <w:p>
      <w:pPr>
        <w:pStyle w:val="8"/>
      </w:pPr>
      <w:r>
        <w:t>设立期货公司，应当具备下列条件，并经国务院期货监督管理机构核准：</w:t>
      </w:r>
    </w:p>
    <w:p>
      <w:pPr>
        <w:pStyle w:val="8"/>
      </w:pPr>
      <w:r>
        <w:t>（一）有符合法律、行政法规规定的公司章程；</w:t>
      </w:r>
    </w:p>
    <w:p>
      <w:pPr>
        <w:pStyle w:val="8"/>
      </w:pPr>
      <w:r>
        <w:t>（二）主要股东及实际控制人具有良好的财务状况和诚信记录，净资产不低于国务院期货监督管理机构规定的标准，最近三年无重大违法违规记录；</w:t>
      </w:r>
    </w:p>
    <w:p>
      <w:pPr>
        <w:pStyle w:val="8"/>
      </w:pPr>
      <w:r>
        <w:t>（三）注册资本不低于人民币一亿元，且应当为实缴货币资本；</w:t>
      </w:r>
    </w:p>
    <w:p>
      <w:pPr>
        <w:pStyle w:val="8"/>
      </w:pPr>
      <w:r>
        <w:t>（四）从事期货业务的人员符合本法规定的条件，董事、监事和高级管理人员具备相应的任职条件；</w:t>
      </w:r>
    </w:p>
    <w:p>
      <w:pPr>
        <w:pStyle w:val="8"/>
      </w:pPr>
      <w:r>
        <w:t>（五）有良好的公司治理结构、健全的风险管理制度和完善的内部控制制度；</w:t>
      </w:r>
    </w:p>
    <w:p>
      <w:pPr>
        <w:pStyle w:val="8"/>
      </w:pPr>
      <w:r>
        <w:t>（六）有合格的经营场所、业务设施和信息技术系统；</w:t>
      </w:r>
    </w:p>
    <w:p>
      <w:pPr>
        <w:pStyle w:val="8"/>
      </w:pPr>
      <w:r>
        <w:t>（七）法律、行政法规和国务院期货监督管理机构规定的其他条件。</w:t>
      </w:r>
    </w:p>
    <w:p>
      <w:pPr>
        <w:pStyle w:val="8"/>
      </w:pPr>
      <w:r>
        <w:t>国务院期货监督管理机构根据审慎监管原则和各项业务的风险程度，可以提高注册资本最低限额。</w:t>
      </w:r>
    </w:p>
    <w:p>
      <w:pPr>
        <w:pStyle w:val="8"/>
      </w:pPr>
      <w:r>
        <w:t>国务院期货监督管理机构应当自受理期货公司设立申请之日起六个月内依照法定条件、法定程序和审慎监管原则进行审查，作出核准或者不予核准的决定，并通知申请人；不予核准的，应当说明理由。</w:t>
      </w:r>
    </w:p>
    <w:p>
      <w:pPr>
        <w:pStyle w:val="4"/>
      </w:pPr>
      <w:r>
        <w:t>第六十一条</w:t>
      </w:r>
    </w:p>
    <w:p>
      <w:pPr>
        <w:pStyle w:val="8"/>
      </w:pPr>
      <w:r>
        <w:t>期货公司应当在其名称中标明“期货”字样，国务院期货监督管理机构另有规定的除外。</w:t>
      </w:r>
    </w:p>
    <w:p>
      <w:pPr>
        <w:pStyle w:val="4"/>
      </w:pPr>
      <w:r>
        <w:t>第六十二条</w:t>
      </w:r>
    </w:p>
    <w:p>
      <w:pPr>
        <w:pStyle w:val="8"/>
      </w:pPr>
      <w:r>
        <w:t>期货公司办理下列事项，应当经国务院期货监督管理机构核准：</w:t>
      </w:r>
    </w:p>
    <w:p>
      <w:pPr>
        <w:pStyle w:val="8"/>
      </w:pPr>
      <w:r>
        <w:t>（一）合并、分立、停业、解散或者申请破产；</w:t>
      </w:r>
    </w:p>
    <w:p>
      <w:pPr>
        <w:pStyle w:val="8"/>
      </w:pPr>
      <w:r>
        <w:t>（二）变更主要股东或者公司的实际控制人；</w:t>
      </w:r>
    </w:p>
    <w:p>
      <w:pPr>
        <w:pStyle w:val="8"/>
      </w:pPr>
      <w:r>
        <w:t>（三）变更注册资本且调整股权结构；</w:t>
      </w:r>
    </w:p>
    <w:p>
      <w:pPr>
        <w:pStyle w:val="8"/>
      </w:pPr>
      <w:r>
        <w:t>（四）变更业务范围；</w:t>
      </w:r>
    </w:p>
    <w:p>
      <w:pPr>
        <w:pStyle w:val="8"/>
      </w:pPr>
      <w:r>
        <w:t>（五）国务院期货监督管理机构规定的其他重大事项。</w:t>
      </w:r>
    </w:p>
    <w:p>
      <w:pPr>
        <w:pStyle w:val="8"/>
      </w:pPr>
      <w:r>
        <w:t>前款第三项、第五项所列事项，国务院期货监督管理机构应当自受理申请之日起二十日内作出核准或者不予核准的决定；前款所列其他事项，国务院期货监督管理机构应当自受理申请之日起六十日内作出核准或者不予核准的决定。</w:t>
      </w:r>
    </w:p>
    <w:p>
      <w:pPr>
        <w:pStyle w:val="4"/>
      </w:pPr>
      <w:r>
        <w:t>第六十三条</w:t>
      </w:r>
    </w:p>
    <w:p>
      <w:pPr>
        <w:pStyle w:val="8"/>
      </w:pPr>
      <w:r>
        <w:t>期货公司经国务院期货监督管理机构核准可以从事下列期货业务：</w:t>
      </w:r>
    </w:p>
    <w:p>
      <w:pPr>
        <w:pStyle w:val="8"/>
      </w:pPr>
      <w:r>
        <w:t>（一）期货经纪；</w:t>
      </w:r>
    </w:p>
    <w:p>
      <w:pPr>
        <w:pStyle w:val="8"/>
      </w:pPr>
      <w:r>
        <w:t>（二）期货交易咨询；</w:t>
      </w:r>
    </w:p>
    <w:p>
      <w:pPr>
        <w:pStyle w:val="8"/>
      </w:pPr>
      <w:r>
        <w:t>（三）期货做市交易；</w:t>
      </w:r>
    </w:p>
    <w:p>
      <w:pPr>
        <w:pStyle w:val="8"/>
      </w:pPr>
      <w:r>
        <w:t>（四）其他期货业务。</w:t>
      </w:r>
    </w:p>
    <w:p>
      <w:pPr>
        <w:pStyle w:val="8"/>
      </w:pPr>
      <w:r>
        <w:t>期货公司从事资产管理业务的，应当符合《中华人民共和国证券投资基金法》等法律、行政法规的规定。</w:t>
      </w:r>
    </w:p>
    <w:p>
      <w:pPr>
        <w:pStyle w:val="8"/>
      </w:pPr>
      <w:r>
        <w:t>未经国务院期货监督管理机构核准，任何单位和个人不得设立或者变相设立期货公司，经营或者变相经营期货经纪业务、期货交易咨询业务，也不得以经营为目的使用“期货”、“期权”或者其他可能产生混淆或者误导的名称。</w:t>
      </w:r>
    </w:p>
    <w:p>
      <w:pPr>
        <w:pStyle w:val="4"/>
      </w:pPr>
      <w:r>
        <w:t>第六十四条</w:t>
      </w:r>
    </w:p>
    <w:p>
      <w:pPr>
        <w:pStyle w:val="8"/>
      </w:pPr>
      <w:r>
        <w:t>期货公司的董事、监事、高级管理人员，应当正直诚实、品行良好，熟悉期货法律、行政法规，具有履行职责所需的经营管理能力。期货公司任免董事、监事、高级管理人员，应当报国务院期货监督管理机构备案。</w:t>
      </w:r>
    </w:p>
    <w:p>
      <w:pPr>
        <w:pStyle w:val="8"/>
      </w:pPr>
      <w:r>
        <w:t>有下列情形之一的，不得担任期货公司的董事、监事、高级管理人员：</w:t>
      </w:r>
    </w:p>
    <w:p>
      <w:pPr>
        <w:pStyle w:val="8"/>
      </w:pPr>
      <w:r>
        <w:t>（一）存在《中华人民共和国公司法》规定的不得担任公司董事、监事和高级管理人员的情形；</w:t>
      </w:r>
    </w:p>
    <w:p>
      <w:pPr>
        <w:pStyle w:val="8"/>
      </w:pPr>
      <w:r>
        <w:t>（二）因违法行为或者违纪行为被解除职务的期货经营机构的董事、监事、高级管理人员，或者期货交易场所、期货结算机构的负责人，自被解除职务之日起未逾五年；</w:t>
      </w:r>
    </w:p>
    <w:p>
      <w:pPr>
        <w:pStyle w:val="8"/>
      </w:pPr>
      <w:r>
        <w:t>（三）因违法行为或者违纪行为被吊销执业证书或者被取消资格的注册会计师、律师或者其他期货服务机构的专业人员，自被吊销执业证书或者被取消资格之日起未逾五年。</w:t>
      </w:r>
    </w:p>
    <w:p>
      <w:pPr>
        <w:pStyle w:val="4"/>
      </w:pPr>
      <w:r>
        <w:t>第六十五条</w:t>
      </w:r>
    </w:p>
    <w:p>
      <w:pPr>
        <w:pStyle w:val="8"/>
      </w:pPr>
      <w:r>
        <w:t>期货经营机构应当依法经营，勤勉尽责，诚实守信。期货经营机构应当建立健全内部控制制度，采取有效隔离措施，防范经营机构与客户之间、不同客户之间的利益冲突。</w:t>
      </w:r>
    </w:p>
    <w:p>
      <w:pPr>
        <w:pStyle w:val="8"/>
      </w:pPr>
      <w:r>
        <w:t>期货经营机构应当将其期货经纪业务、期货做市交易业务、资产管理业务和其他相关业务分开办理，不得混合操作。</w:t>
      </w:r>
    </w:p>
    <w:p>
      <w:pPr>
        <w:pStyle w:val="8"/>
      </w:pPr>
      <w:r>
        <w:t>期货经营机构应当依法建立并执行反洗钱制度。</w:t>
      </w:r>
    </w:p>
    <w:p>
      <w:pPr>
        <w:pStyle w:val="4"/>
      </w:pPr>
      <w:r>
        <w:t>第六十六条</w:t>
      </w:r>
    </w:p>
    <w:p>
      <w:pPr>
        <w:pStyle w:val="8"/>
      </w:pPr>
      <w:r>
        <w:t>期货经营机构接受交易者委托为其进行期货交易，应当签订书面委托合同，以自己的名义为交易者进行期货交易，交易结果由交易者承担。</w:t>
      </w:r>
    </w:p>
    <w:p>
      <w:pPr>
        <w:pStyle w:val="8"/>
      </w:pPr>
      <w:r>
        <w:t>期货经营机构从事经纪业务，不得接受交易者的全权委托。</w:t>
      </w:r>
    </w:p>
    <w:p>
      <w:pPr>
        <w:pStyle w:val="4"/>
      </w:pPr>
      <w:r>
        <w:t>第六十七条</w:t>
      </w:r>
    </w:p>
    <w:p>
      <w:pPr>
        <w:pStyle w:val="8"/>
      </w:pPr>
      <w:r>
        <w:t>期货经营机构从事资产管理业务，接受客户委托，运用客户资产进行投资的，应当公平对待所管理的不同客户资产，不得违背受托义务。</w:t>
      </w:r>
    </w:p>
    <w:p>
      <w:pPr>
        <w:pStyle w:val="4"/>
      </w:pPr>
      <w:r>
        <w:t>第六十八条</w:t>
      </w:r>
    </w:p>
    <w:p>
      <w:pPr>
        <w:pStyle w:val="8"/>
      </w:pPr>
      <w:r>
        <w:t>期货经营机构不得违反规定为其股东、实际控制人或者股东、实际控制人的关联人提供融资或者担保，不得违反规定对外担保。</w:t>
      </w:r>
    </w:p>
    <w:p>
      <w:pPr>
        <w:pStyle w:val="4"/>
      </w:pPr>
      <w:r>
        <w:t>第六十九条</w:t>
      </w:r>
    </w:p>
    <w:p>
      <w:pPr>
        <w:pStyle w:val="8"/>
      </w:pPr>
      <w:r>
        <w:t>期货经营机构从事期货业务的人员应当正直诚实、品行良好，具备从事期货业务所需的专业能力。</w:t>
      </w:r>
    </w:p>
    <w:p>
      <w:pPr>
        <w:pStyle w:val="8"/>
      </w:pPr>
      <w:r>
        <w:t>期货经营机构从事期货业务的人员不得私下接受客户委托从事期货交易。</w:t>
      </w:r>
    </w:p>
    <w:p>
      <w:pPr>
        <w:pStyle w:val="8"/>
      </w:pPr>
      <w:r>
        <w:t>期货经营机构从事期货业务的人员在从事期货业务活动中，执行所属的期货经营机构的指令或者利用职务违反期货交易规则的，由所属的期货经营机构承担全部责任。</w:t>
      </w:r>
    </w:p>
    <w:p>
      <w:pPr>
        <w:pStyle w:val="4"/>
      </w:pPr>
      <w:r>
        <w:t>第七十条</w:t>
      </w:r>
    </w:p>
    <w:p>
      <w:pPr>
        <w:pStyle w:val="8"/>
      </w:pPr>
      <w:r>
        <w:t>国务院期货监督管理机构应当制定期货经营机构持续性经营规则，对期货经营机构及其分支机构的经营条件、风险管理、内部控制、保证金存管、合规管理、风险监管指标、关联交易等方面作出规定。期货经营机构应当符合持续性经营规则。</w:t>
      </w:r>
    </w:p>
    <w:p>
      <w:pPr>
        <w:pStyle w:val="4"/>
      </w:pPr>
      <w:r>
        <w:t>第七十一条</w:t>
      </w:r>
    </w:p>
    <w:p>
      <w:pPr>
        <w:pStyle w:val="8"/>
      </w:pPr>
      <w:r>
        <w:t>期货经营机构应当按照规定向国务院期货监督管理机构报送业务、财务等经营管理信息和资料。国务院期货监督管理机构有权要求期货经营机构及其主要股东、实际控制人、其他关联人在指定的期限内提供有关信息、资料。</w:t>
      </w:r>
    </w:p>
    <w:p>
      <w:pPr>
        <w:pStyle w:val="8"/>
      </w:pPr>
      <w:r>
        <w:t>期货经营机构及其主要股东、实际控制人或者其他关联人向国务院期货监督管理机构报送或者提供的信息、资料，应当真实、准确、完整。</w:t>
      </w:r>
    </w:p>
    <w:p>
      <w:pPr>
        <w:pStyle w:val="4"/>
      </w:pPr>
      <w:r>
        <w:t>第七十二条</w:t>
      </w:r>
    </w:p>
    <w:p>
      <w:pPr>
        <w:pStyle w:val="8"/>
      </w:pPr>
      <w:r>
        <w:t>期货经营机构涉及重大诉讼、仲裁，股权被冻结或者用于担保，以及发生其他重大事件时，应当自该事件发生之日起五日内向国务院期货监督管理机构提交书面报告。</w:t>
      </w:r>
    </w:p>
    <w:p>
      <w:pPr>
        <w:pStyle w:val="8"/>
      </w:pPr>
      <w:r>
        <w:t>期货经营机构的控股股东或者实际控制人应当配合期货经营机构履行前款规定的义务。</w:t>
      </w:r>
    </w:p>
    <w:p>
      <w:pPr>
        <w:pStyle w:val="4"/>
      </w:pPr>
      <w:r>
        <w:t>第七十三条</w:t>
      </w:r>
    </w:p>
    <w:p>
      <w:pPr>
        <w:pStyle w:val="8"/>
      </w:pPr>
      <w:r>
        <w:t>期货经营机构不符合持续性经营规则或者出现经营风险的，国务院期货监督管理机构应当责令其限期改正；期货经营机构逾期未改正的，或者其行为严重危及该期货经营机构的稳健运行、损害交易者合法权益的，或者涉嫌严重违法违规正在被国务院期货监督管理机构调查的，国务院期货监督管理机构可以区别情形，对其采取下列措施：</w:t>
      </w:r>
    </w:p>
    <w:p>
      <w:pPr>
        <w:pStyle w:val="8"/>
      </w:pPr>
      <w:r>
        <w:t>（一）限制或者暂停部分业务；</w:t>
      </w:r>
    </w:p>
    <w:p>
      <w:pPr>
        <w:pStyle w:val="8"/>
      </w:pPr>
      <w:r>
        <w:t>（二）停止核准新增业务；</w:t>
      </w:r>
    </w:p>
    <w:p>
      <w:pPr>
        <w:pStyle w:val="8"/>
      </w:pPr>
      <w:r>
        <w:t>（三）限制分配红利，限制向董事、监事、高级管理人员支付报酬、提供福利；</w:t>
      </w:r>
    </w:p>
    <w:p>
      <w:pPr>
        <w:pStyle w:val="8"/>
      </w:pPr>
      <w:r>
        <w:t>（四）限制转让财产或者在财产上设定其他权利；</w:t>
      </w:r>
    </w:p>
    <w:p>
      <w:pPr>
        <w:pStyle w:val="8"/>
      </w:pPr>
      <w:r>
        <w:t>（五）责令更换董事、监事、高级管理人员或者有关业务部门、分支机构的负责人员，或者限制其权利；</w:t>
      </w:r>
    </w:p>
    <w:p>
      <w:pPr>
        <w:pStyle w:val="8"/>
      </w:pPr>
      <w:r>
        <w:t>（六）限制期货经营机构自有资金或者风险准备金的调拨和使用；</w:t>
      </w:r>
    </w:p>
    <w:p>
      <w:pPr>
        <w:pStyle w:val="8"/>
      </w:pPr>
      <w:r>
        <w:t>（七）认定负有责任的董事、监事、高级管理人员为不适当人选；</w:t>
      </w:r>
    </w:p>
    <w:p>
      <w:pPr>
        <w:pStyle w:val="8"/>
      </w:pPr>
      <w:r>
        <w:t>（八）责令负有责任的股东转让股权，限制负有责任的股东行使股东权利。</w:t>
      </w:r>
    </w:p>
    <w:p>
      <w:pPr>
        <w:pStyle w:val="8"/>
      </w:pPr>
      <w:r>
        <w:t>对经过整改符合有关法律、行政法规规定以及持续性经营规则要求的期货经营机构，国务院期货监督管理机构应当自验收完毕之日起三日内解除对其采取的有关措施。</w:t>
      </w:r>
    </w:p>
    <w:p>
      <w:pPr>
        <w:pStyle w:val="8"/>
      </w:pPr>
      <w:r>
        <w:t>对经过整改仍未达到持续性经营规则要求，严重影响正常经营的期货经营机构，国务院期货监督管理机构有权撤销其部分或者全部期货业务许可、关闭其部分或者全部分支机构。</w:t>
      </w:r>
    </w:p>
    <w:p>
      <w:pPr>
        <w:pStyle w:val="4"/>
      </w:pPr>
      <w:r>
        <w:t>第七十四条</w:t>
      </w:r>
    </w:p>
    <w:p>
      <w:pPr>
        <w:pStyle w:val="8"/>
      </w:pPr>
      <w:r>
        <w:t>期货经营机构违法经营或者出现重大风险，严重危害期货市场秩序、损害交易者利益的，国务院期货监督管理机构可以对该期货经营机构采取责令停业整顿、指定其他机构托管或者接管等监督管理措施。</w:t>
      </w:r>
    </w:p>
    <w:p>
      <w:pPr>
        <w:pStyle w:val="8"/>
      </w:pPr>
      <w:r>
        <w:t>期货经营机构有前款所列情形，经国务院期货监督管理机构批准，可以对该期货经营机构直接负责的董事、监事、高级管理人员和其他直接责任人员采取以下措施：</w:t>
      </w:r>
    </w:p>
    <w:p>
      <w:pPr>
        <w:pStyle w:val="8"/>
      </w:pPr>
      <w:r>
        <w:t>（一）决定并通知出境入境管理机关依法阻止其出境；</w:t>
      </w:r>
    </w:p>
    <w:p>
      <w:pPr>
        <w:pStyle w:val="8"/>
      </w:pPr>
      <w:r>
        <w:t>（二）申请司法机关禁止其转移、转让或者以其他方式处分财产，或者在财产上设定其他权利。</w:t>
      </w:r>
    </w:p>
    <w:p>
      <w:pPr>
        <w:pStyle w:val="4"/>
      </w:pPr>
      <w:r>
        <w:t>第七十五条</w:t>
      </w:r>
    </w:p>
    <w:p>
      <w:pPr>
        <w:pStyle w:val="8"/>
      </w:pPr>
      <w:r>
        <w:t>期货经营机构的股东有虚假出资、抽逃出资行为的，国务院期货监督管理机构应当责令其限期改正，并可责令其转让所持期货经营机构的股权。</w:t>
      </w:r>
    </w:p>
    <w:p>
      <w:pPr>
        <w:pStyle w:val="8"/>
      </w:pPr>
      <w:r>
        <w:t>在股东依照前款规定的要求改正违法行为、转让所持期货经营机构的股权前，国务院期货监督管理机构可以限制其股东权利。</w:t>
      </w:r>
    </w:p>
    <w:p>
      <w:pPr>
        <w:pStyle w:val="4"/>
      </w:pPr>
      <w:r>
        <w:t>第七十六条</w:t>
      </w:r>
    </w:p>
    <w:p>
      <w:pPr>
        <w:pStyle w:val="8"/>
      </w:pPr>
      <w:r>
        <w:t>期货经营机构有下列情形之一的，国务院期货监督管理机构应当依法办理相关业务许可证注销手续：</w:t>
      </w:r>
    </w:p>
    <w:p>
      <w:pPr>
        <w:pStyle w:val="8"/>
      </w:pPr>
      <w:r>
        <w:t>（一）营业执照被依法吊销；</w:t>
      </w:r>
    </w:p>
    <w:p>
      <w:pPr>
        <w:pStyle w:val="8"/>
      </w:pPr>
      <w:r>
        <w:t>（二）成立后无正当理由超过三个月未开始营业，或者开业后无正当理由停业连续三个月以上；</w:t>
      </w:r>
    </w:p>
    <w:p>
      <w:pPr>
        <w:pStyle w:val="8"/>
      </w:pPr>
      <w:r>
        <w:t>（三）主动提出注销申请；</w:t>
      </w:r>
    </w:p>
    <w:p>
      <w:pPr>
        <w:pStyle w:val="8"/>
      </w:pPr>
      <w:r>
        <w:t>（四）《中华人民共和国行政许可法》和国务院期货监督管理机构规定应当注销行政许可的其他情形。</w:t>
      </w:r>
    </w:p>
    <w:p>
      <w:pPr>
        <w:pStyle w:val="8"/>
      </w:pPr>
      <w:r>
        <w:t>期货经营机构在注销相关业务许可证前，应当结清相关期货业务，并依法返还交易者的保证金和其他资产。</w:t>
      </w:r>
    </w:p>
    <w:p>
      <w:pPr>
        <w:pStyle w:val="4"/>
      </w:pPr>
      <w:r>
        <w:t>第七十七条</w:t>
      </w:r>
    </w:p>
    <w:p>
      <w:pPr>
        <w:pStyle w:val="8"/>
      </w:pPr>
      <w:r>
        <w:t>国务院期货监督管理机构认为必要时，可以委托期货服务机构对期货经营机构的财务状况、内部控制状况、资产价值进行审计或者评估。具体办法由国务院期货监督管理机构会同有关主管部门制定。</w:t>
      </w:r>
    </w:p>
    <w:p>
      <w:pPr>
        <w:pStyle w:val="4"/>
      </w:pPr>
      <w:r>
        <w:t>第七十八条</w:t>
      </w:r>
    </w:p>
    <w:p>
      <w:pPr>
        <w:pStyle w:val="8"/>
      </w:pPr>
      <w:r>
        <w:t>禁止期货经营机构从事下列损害交易者利益的行为：</w:t>
      </w:r>
    </w:p>
    <w:p>
      <w:pPr>
        <w:pStyle w:val="8"/>
      </w:pPr>
      <w:r>
        <w:t>（一）向交易者作出保证其资产本金不受损失或者取得最低收益承诺；</w:t>
      </w:r>
    </w:p>
    <w:p>
      <w:pPr>
        <w:pStyle w:val="8"/>
      </w:pPr>
      <w:r>
        <w:t>（二）与交易者约定分享利益、共担风险；</w:t>
      </w:r>
    </w:p>
    <w:p>
      <w:pPr>
        <w:pStyle w:val="8"/>
      </w:pPr>
      <w:r>
        <w:t>（三）违背交易者委托进行期货交易；</w:t>
      </w:r>
    </w:p>
    <w:p>
      <w:pPr>
        <w:pStyle w:val="8"/>
      </w:pPr>
      <w:r>
        <w:t>（四）隐瞒重要事项或者使用其他不正当手段，诱骗交易者交易；</w:t>
      </w:r>
    </w:p>
    <w:p>
      <w:pPr>
        <w:pStyle w:val="8"/>
      </w:pPr>
      <w:r>
        <w:t>（五）以虚假或者不确定的重大信息为依据向交易者提供交易建议；</w:t>
      </w:r>
    </w:p>
    <w:p>
      <w:pPr>
        <w:pStyle w:val="8"/>
      </w:pPr>
      <w:r>
        <w:t>（六）向交易者提供虚假成交回报；</w:t>
      </w:r>
    </w:p>
    <w:p>
      <w:pPr>
        <w:pStyle w:val="8"/>
      </w:pPr>
      <w:r>
        <w:t>（七）未将交易者交易指令下达到期货交易场所；</w:t>
      </w:r>
    </w:p>
    <w:p>
      <w:pPr>
        <w:pStyle w:val="8"/>
      </w:pPr>
      <w:r>
        <w:t>（八）挪用交易者保证金；</w:t>
      </w:r>
    </w:p>
    <w:p>
      <w:pPr>
        <w:pStyle w:val="8"/>
      </w:pPr>
      <w:r>
        <w:t>（九）未依照规定在期货保证金存管机构开立保证金账户，或者违规划转交易者保证金；</w:t>
      </w:r>
    </w:p>
    <w:p>
      <w:pPr>
        <w:pStyle w:val="8"/>
      </w:pPr>
      <w:r>
        <w:t>（十）利用为交易者提供服务的便利，获取不正当利益或者转嫁风险；</w:t>
      </w:r>
    </w:p>
    <w:p>
      <w:pPr>
        <w:pStyle w:val="8"/>
      </w:pPr>
      <w:r>
        <w:t>（十一）其他损害交易者权益的行为。</w:t>
      </w:r>
    </w:p>
    <w:p>
      <w:pPr>
        <w:pStyle w:val="2"/>
      </w:pPr>
      <w:r>
        <w:t>第六章 期货交易场所</w:t>
      </w:r>
    </w:p>
    <w:p>
      <w:pPr>
        <w:pStyle w:val="4"/>
      </w:pPr>
      <w:r>
        <w:t>第七十九条</w:t>
      </w:r>
    </w:p>
    <w:p>
      <w:pPr>
        <w:pStyle w:val="8"/>
      </w:pPr>
      <w:r>
        <w:t>期货交易场所应当遵循社会公共利益优先原则，为期货交易提供场所和设施，组织和监督期货交易，维护市场的公平、有序和透明，实行自律管理。</w:t>
      </w:r>
    </w:p>
    <w:p>
      <w:pPr>
        <w:pStyle w:val="4"/>
      </w:pPr>
      <w:r>
        <w:t>第八十条</w:t>
      </w:r>
    </w:p>
    <w:p>
      <w:pPr>
        <w:pStyle w:val="8"/>
      </w:pPr>
      <w:r>
        <w:t>设立、变更和解散期货交易所，应当由国务院期货监督管理机构批准。</w:t>
      </w:r>
    </w:p>
    <w:p>
      <w:pPr>
        <w:pStyle w:val="8"/>
      </w:pPr>
      <w:r>
        <w:t>设立期货交易所应当制定章程。期货交易所章程的制定和修改，应当经国务院期货监督管理机构批准。</w:t>
      </w:r>
    </w:p>
    <w:p>
      <w:pPr>
        <w:pStyle w:val="4"/>
      </w:pPr>
      <w:r>
        <w:t>第八十一条</w:t>
      </w:r>
    </w:p>
    <w:p>
      <w:pPr>
        <w:pStyle w:val="8"/>
      </w:pPr>
      <w:r>
        <w:t>期货交易所应当在其名称中标明“商品交易所”或者“期货交易所”等字样。其他任何单位或者个人不得使用期货交易所或者其他可能产生混淆或者误导的名称。</w:t>
      </w:r>
    </w:p>
    <w:p>
      <w:pPr>
        <w:pStyle w:val="4"/>
      </w:pPr>
      <w:r>
        <w:t>第八十二条</w:t>
      </w:r>
    </w:p>
    <w:p>
      <w:pPr>
        <w:pStyle w:val="8"/>
      </w:pPr>
      <w:r>
        <w:t>期货交易所可以采取会员制或者公司制的组织形式。</w:t>
      </w:r>
    </w:p>
    <w:p>
      <w:pPr>
        <w:pStyle w:val="8"/>
      </w:pPr>
      <w:r>
        <w:t>会员制期货交易所的组织机构由其章程规定。</w:t>
      </w:r>
    </w:p>
    <w:p>
      <w:pPr>
        <w:pStyle w:val="4"/>
      </w:pPr>
      <w:r>
        <w:t>第八十三条</w:t>
      </w:r>
    </w:p>
    <w:p>
      <w:pPr>
        <w:pStyle w:val="8"/>
      </w:pPr>
      <w:r>
        <w:t>期货交易所依照法律、行政法规和国务院期货监督管理机构的规定，制定有关业务规则；其中交易规则的制定和修改应当报国务院期货监督管理机构批准。</w:t>
      </w:r>
    </w:p>
    <w:p>
      <w:pPr>
        <w:pStyle w:val="8"/>
      </w:pPr>
      <w:r>
        <w:t>期货交易所业务规则应当体现公平保护会员、交易者等市场相关各方合法权益的原则。</w:t>
      </w:r>
    </w:p>
    <w:p>
      <w:pPr>
        <w:pStyle w:val="8"/>
      </w:pPr>
      <w:r>
        <w:t>在期货交易所从事期货交易及相关活动，应当遵守期货交易所依法制定的业务规则。违反业务规则的，由期货交易所给予纪律处分或者采取其他自律管理措施。</w:t>
      </w:r>
    </w:p>
    <w:p>
      <w:pPr>
        <w:pStyle w:val="4"/>
      </w:pPr>
      <w:r>
        <w:t>第八十四条</w:t>
      </w:r>
    </w:p>
    <w:p>
      <w:pPr>
        <w:pStyle w:val="8"/>
      </w:pPr>
      <w:r>
        <w:t>期货交易所的负责人由国务院期货监督管理机构提名或者任免。</w:t>
      </w:r>
    </w:p>
    <w:p>
      <w:pPr>
        <w:pStyle w:val="8"/>
      </w:pPr>
      <w:r>
        <w:t>有《中华人民共和国公司法》规定的不适合担任公司董事、监事、高级管理人员的情形或者下列情形之一的，不得担任期货交易所的负责人：</w:t>
      </w:r>
    </w:p>
    <w:p>
      <w:pPr>
        <w:pStyle w:val="8"/>
      </w:pPr>
      <w:r>
        <w:t>（一）因违法行为或者违纪行为被解除职务的期货经营机构的董事、监事、高级管理人员，或者期货交易场所、期货结算机构的负责人，自被解除职务之日起未逾五年；</w:t>
      </w:r>
    </w:p>
    <w:p>
      <w:pPr>
        <w:pStyle w:val="8"/>
      </w:pPr>
      <w:r>
        <w:t>（二）因违法行为或者违纪行为被吊销执业证书或者被取消资格的注册会计师、律师或者其他期货服务机构的专业人员，自被吊销执业证书或者被取消资格之日起未逾五年。</w:t>
      </w:r>
    </w:p>
    <w:p>
      <w:pPr>
        <w:pStyle w:val="4"/>
      </w:pPr>
      <w:r>
        <w:t>第八十五条</w:t>
      </w:r>
    </w:p>
    <w:p>
      <w:pPr>
        <w:pStyle w:val="8"/>
      </w:pPr>
      <w:r>
        <w:t>期货交易场所应当依照本法和国务院期货监督管理机构的规定，加强对交易活动的风险控制和对会员以及交易场所工作人员的监督管理，依法履行下列职责：</w:t>
      </w:r>
    </w:p>
    <w:p>
      <w:pPr>
        <w:pStyle w:val="8"/>
      </w:pPr>
      <w:r>
        <w:t>（一）提供交易的场所、设施和服务；</w:t>
      </w:r>
    </w:p>
    <w:p>
      <w:pPr>
        <w:pStyle w:val="8"/>
      </w:pPr>
      <w:r>
        <w:t>（二）设计期货合约、标准化期权合约品种，安排期货合约、标准化期权合约品种上市；</w:t>
      </w:r>
    </w:p>
    <w:p>
      <w:pPr>
        <w:pStyle w:val="8"/>
      </w:pPr>
      <w:r>
        <w:t>（三）对期货交易进行实时监控和风险监测；</w:t>
      </w:r>
    </w:p>
    <w:p>
      <w:pPr>
        <w:pStyle w:val="8"/>
      </w:pPr>
      <w:r>
        <w:t>（四）依照章程和业务规则对会员、交易者、期货服务机构等进行自律管理；</w:t>
      </w:r>
    </w:p>
    <w:p>
      <w:pPr>
        <w:pStyle w:val="8"/>
      </w:pPr>
      <w:r>
        <w:t>（五）开展交易者教育和市场培育工作；</w:t>
      </w:r>
    </w:p>
    <w:p>
      <w:pPr>
        <w:pStyle w:val="8"/>
      </w:pPr>
      <w:r>
        <w:t>（六）国务院期货监督管理机构规定的其他职责。</w:t>
      </w:r>
    </w:p>
    <w:p>
      <w:pPr>
        <w:pStyle w:val="8"/>
      </w:pPr>
      <w:r>
        <w:t>期货交易场所不得直接或者间接参与期货交易。未经国务院批准，期货交易场所不得从事信托投资、股票投资、非自用不动产投资等与其职责无关的业务。</w:t>
      </w:r>
    </w:p>
    <w:p>
      <w:pPr>
        <w:pStyle w:val="4"/>
      </w:pPr>
      <w:r>
        <w:t>第八十六条</w:t>
      </w:r>
    </w:p>
    <w:p>
      <w:pPr>
        <w:pStyle w:val="8"/>
      </w:pPr>
      <w:r>
        <w:t>期货交易所的所得收益按照国家有关规定管理和使用，应当首先用于保证期货交易的场所、设施的运行和改善。</w:t>
      </w:r>
    </w:p>
    <w:p>
      <w:pPr>
        <w:pStyle w:val="4"/>
      </w:pPr>
      <w:r>
        <w:t>第八十七条</w:t>
      </w:r>
    </w:p>
    <w:p>
      <w:pPr>
        <w:pStyle w:val="8"/>
      </w:pPr>
      <w:r>
        <w:t>期货交易场所应当加强对期货交易的风险监测，出现异常情况的，期货交易场所可以依照业务规则，单独或者会同期货结算机构采取下列紧急措施，并立即报告国务院期货监督管理机构：</w:t>
      </w:r>
    </w:p>
    <w:p>
      <w:pPr>
        <w:pStyle w:val="8"/>
      </w:pPr>
      <w:r>
        <w:t>（一）调整保证金；</w:t>
      </w:r>
    </w:p>
    <w:p>
      <w:pPr>
        <w:pStyle w:val="8"/>
      </w:pPr>
      <w:r>
        <w:t>（二）调整涨跌停板幅度；</w:t>
      </w:r>
    </w:p>
    <w:p>
      <w:pPr>
        <w:pStyle w:val="8"/>
      </w:pPr>
      <w:r>
        <w:t>（三）调整会员、交易者的交易限额或持仓限额标准；</w:t>
      </w:r>
    </w:p>
    <w:p>
      <w:pPr>
        <w:pStyle w:val="8"/>
      </w:pPr>
      <w:r>
        <w:t>（四）限制开仓；</w:t>
      </w:r>
    </w:p>
    <w:p>
      <w:pPr>
        <w:pStyle w:val="8"/>
      </w:pPr>
      <w:r>
        <w:t>（五）强行平仓；</w:t>
      </w:r>
    </w:p>
    <w:p>
      <w:pPr>
        <w:pStyle w:val="8"/>
      </w:pPr>
      <w:r>
        <w:t>（六）暂时停止交易；</w:t>
      </w:r>
    </w:p>
    <w:p>
      <w:pPr>
        <w:pStyle w:val="8"/>
      </w:pPr>
      <w:r>
        <w:t>（七）其他紧急措施。</w:t>
      </w:r>
    </w:p>
    <w:p>
      <w:pPr>
        <w:pStyle w:val="8"/>
      </w:pPr>
      <w:r>
        <w:t>异常情况消失后，期货交易场所应当及时取消紧急措施。</w:t>
      </w:r>
    </w:p>
    <w:p>
      <w:pPr>
        <w:pStyle w:val="4"/>
      </w:pPr>
      <w:r>
        <w:t>第八十八条</w:t>
      </w:r>
    </w:p>
    <w:p>
      <w:pPr>
        <w:pStyle w:val="8"/>
      </w:pPr>
      <w:r>
        <w:t>期货交易场所应当实时公布期货交易即时行情，并按交易日制作期货市场行情表，予以公布。</w:t>
      </w:r>
    </w:p>
    <w:p>
      <w:pPr>
        <w:pStyle w:val="8"/>
      </w:pPr>
      <w:r>
        <w:t>期货交易行情的权益由期货交易场所享有。未经期货交易场所许可，任何单位和个人不得发布期货交易行情。</w:t>
      </w:r>
    </w:p>
    <w:p>
      <w:pPr>
        <w:pStyle w:val="8"/>
      </w:pPr>
      <w:r>
        <w:t>期货交易场所不得发布价格预测信息。</w:t>
      </w:r>
    </w:p>
    <w:p>
      <w:pPr>
        <w:pStyle w:val="8"/>
      </w:pPr>
      <w:r>
        <w:t>期货交易场所应当依照国务院期货监督管理机构的规定，履行信息报告义务。</w:t>
      </w:r>
    </w:p>
    <w:p>
      <w:pPr>
        <w:pStyle w:val="4"/>
      </w:pPr>
      <w:r>
        <w:t>第八十九条</w:t>
      </w:r>
    </w:p>
    <w:p>
      <w:pPr>
        <w:pStyle w:val="8"/>
      </w:pPr>
      <w:r>
        <w:t>因突发性事件影响期货交易正常进行时，为维护期货交易正常秩序和市场公平，期货交易场所可以按照本法和业务规则规定采取必要的处置措施，并应当及时向国务院期货监督管理机构报告。</w:t>
      </w:r>
    </w:p>
    <w:p>
      <w:pPr>
        <w:pStyle w:val="8"/>
      </w:pPr>
      <w:r>
        <w:t>因前款规定的突发性事件导致期货交易结果出现重大异常，按交易结果进行结算、交割将对期货交易正常秩序和市场公平造成重大影响的，期货交易场所可以按照业务规则采取取消交易等措施，并应当及时向国务院期货监督管理机构报告并公告。</w:t>
      </w:r>
    </w:p>
    <w:p>
      <w:pPr>
        <w:pStyle w:val="4"/>
      </w:pPr>
      <w:r>
        <w:t>第九十条</w:t>
      </w:r>
    </w:p>
    <w:p>
      <w:pPr>
        <w:pStyle w:val="8"/>
      </w:pPr>
      <w:r>
        <w:t>期货交易场所对其依照本法第八十七条、第八十九条规定采取措施造成的损失，不承担民事赔偿责任，但存在重大过错的除外。</w:t>
      </w:r>
    </w:p>
    <w:p>
      <w:pPr>
        <w:pStyle w:val="2"/>
      </w:pPr>
      <w:r>
        <w:t>第七章 期货结算机构</w:t>
      </w:r>
    </w:p>
    <w:p>
      <w:pPr>
        <w:pStyle w:val="4"/>
      </w:pPr>
      <w:r>
        <w:t>第九十一条</w:t>
      </w:r>
    </w:p>
    <w:p>
      <w:pPr>
        <w:pStyle w:val="8"/>
      </w:pPr>
      <w:r>
        <w:t>期货结算机构是指依法设立，为期货交易提供结算、交割服务，实行自律管理的法人。</w:t>
      </w:r>
    </w:p>
    <w:p>
      <w:pPr>
        <w:pStyle w:val="8"/>
      </w:pPr>
      <w:r>
        <w:t>期货结算机构包括内部设有结算部门的期货交易场所、独立的期货结算机构和经国务院期货监督管理机构批准从事与证券业务相关的期货交易结算、交割业务的证券结算机构。</w:t>
      </w:r>
    </w:p>
    <w:p>
      <w:pPr>
        <w:pStyle w:val="4"/>
      </w:pPr>
      <w:r>
        <w:t>第九十二条</w:t>
      </w:r>
    </w:p>
    <w:p>
      <w:pPr>
        <w:pStyle w:val="8"/>
      </w:pPr>
      <w:r>
        <w:t>独立的期货结算机构的设立、变更和解散，应当经国务院期货监督管理机构批准。</w:t>
      </w:r>
    </w:p>
    <w:p>
      <w:pPr>
        <w:pStyle w:val="8"/>
      </w:pPr>
      <w:r>
        <w:t>设立独立的期货结算机构，应当具备下列条件：</w:t>
      </w:r>
    </w:p>
    <w:p>
      <w:pPr>
        <w:pStyle w:val="8"/>
      </w:pPr>
      <w:r>
        <w:t>（一）具备良好的财务状况，注册资本最低限额符合国务院期货监督管理机构的规定；</w:t>
      </w:r>
    </w:p>
    <w:p>
      <w:pPr>
        <w:pStyle w:val="8"/>
      </w:pPr>
      <w:r>
        <w:t>（二）有具备任职专业知识和业务工作经验的高级管理人员；</w:t>
      </w:r>
    </w:p>
    <w:p>
      <w:pPr>
        <w:pStyle w:val="8"/>
      </w:pPr>
      <w:r>
        <w:t>（三）具备完善的治理结构、内部控制制度和风险控制制度；</w:t>
      </w:r>
    </w:p>
    <w:p>
      <w:pPr>
        <w:pStyle w:val="8"/>
      </w:pPr>
      <w:r>
        <w:t>（四）具备符合要求的营业场所、信息技术系统以及与期货交易的结算有关的其他设施；</w:t>
      </w:r>
    </w:p>
    <w:p>
      <w:pPr>
        <w:pStyle w:val="8"/>
      </w:pPr>
      <w:r>
        <w:t>（五）国务院期货监督管理机构规定的其他条件。</w:t>
      </w:r>
    </w:p>
    <w:p>
      <w:pPr>
        <w:pStyle w:val="8"/>
      </w:pPr>
      <w:r>
        <w:t>承担期货结算机构职责的期货交易场所，应当具备本条第二款规定的条件。</w:t>
      </w:r>
    </w:p>
    <w:p>
      <w:pPr>
        <w:pStyle w:val="8"/>
      </w:pPr>
      <w:r>
        <w:t>国务院期货监督管理机构应当根据审慎监管原则进行审查，在六个月内作出批准或者不予批准的决定。</w:t>
      </w:r>
    </w:p>
    <w:p>
      <w:pPr>
        <w:pStyle w:val="4"/>
      </w:pPr>
      <w:r>
        <w:t>第九十三条</w:t>
      </w:r>
    </w:p>
    <w:p>
      <w:pPr>
        <w:pStyle w:val="8"/>
      </w:pPr>
      <w:r>
        <w:t>期货结算机构作为中央对手方，是结算参与人共同对手方，进行净额结算，为期货交易提供集中履约保障。</w:t>
      </w:r>
    </w:p>
    <w:p>
      <w:pPr>
        <w:pStyle w:val="4"/>
      </w:pPr>
      <w:r>
        <w:t>第九十四条</w:t>
      </w:r>
    </w:p>
    <w:p>
      <w:pPr>
        <w:pStyle w:val="8"/>
      </w:pPr>
      <w:r>
        <w:t>期货结算机构履行下列职责：</w:t>
      </w:r>
    </w:p>
    <w:p>
      <w:pPr>
        <w:pStyle w:val="8"/>
      </w:pPr>
      <w:r>
        <w:t>（一）组织期货交易的结算、交割；</w:t>
      </w:r>
    </w:p>
    <w:p>
      <w:pPr>
        <w:pStyle w:val="8"/>
      </w:pPr>
      <w:r>
        <w:t>（二）按照章程和业务规则对交易者、期货经营机构、期货服务机构、非期货经营机构结算参与人等进行自律管理；</w:t>
      </w:r>
    </w:p>
    <w:p>
      <w:pPr>
        <w:pStyle w:val="8"/>
      </w:pPr>
      <w:r>
        <w:t>（三）办理与期货交易的结算、交割有关的信息查询业务；</w:t>
      </w:r>
    </w:p>
    <w:p>
      <w:pPr>
        <w:pStyle w:val="8"/>
      </w:pPr>
      <w:r>
        <w:t>（四）国务院期货监督管理机构规定的其他职责。</w:t>
      </w:r>
    </w:p>
    <w:p>
      <w:pPr>
        <w:pStyle w:val="4"/>
      </w:pPr>
      <w:r>
        <w:t>第九十五条</w:t>
      </w:r>
    </w:p>
    <w:p>
      <w:pPr>
        <w:pStyle w:val="8"/>
      </w:pPr>
      <w:r>
        <w:t>期货结算机构应当按照国务院期货监督管理机构的规定，在其业务规则中规定结算参与人制度、风险控制制度、信息安全管理制度、违规违约处理制度、应急处理及临时处置措施等事项。期货结算机构制定和修改章程、业务规则，应当经国务院期货监督管理机构批准。参与期货结算，应当遵守期货结算机构制定的业务规则。</w:t>
      </w:r>
    </w:p>
    <w:p>
      <w:pPr>
        <w:pStyle w:val="8"/>
      </w:pPr>
      <w:r>
        <w:t>期货结算机构制定和执行业务规则，应当与期货交易场所的相关制度衔接、协调。</w:t>
      </w:r>
    </w:p>
    <w:p>
      <w:pPr>
        <w:pStyle w:val="4"/>
      </w:pPr>
      <w:r>
        <w:t>第九十六条</w:t>
      </w:r>
    </w:p>
    <w:p>
      <w:pPr>
        <w:pStyle w:val="8"/>
      </w:pPr>
      <w:r>
        <w:t>期货结算机构应当建立流动性管理制度，保障结算活动的稳健运行。</w:t>
      </w:r>
    </w:p>
    <w:p>
      <w:pPr>
        <w:pStyle w:val="4"/>
      </w:pPr>
      <w:r>
        <w:t>第九十七条</w:t>
      </w:r>
    </w:p>
    <w:p>
      <w:pPr>
        <w:pStyle w:val="8"/>
      </w:pPr>
      <w:r>
        <w:t>本法第八十四条，第八十五条第二款，第八十六条，第八十八条第三款、第四款的规定，适用于独立的期货结算机构和经批准从事期货交易结算、交割业务的证券结算机构。</w:t>
      </w:r>
    </w:p>
    <w:p>
      <w:pPr>
        <w:pStyle w:val="2"/>
      </w:pPr>
      <w:r>
        <w:t>第八章 期货服务机构</w:t>
      </w:r>
    </w:p>
    <w:p>
      <w:pPr>
        <w:pStyle w:val="4"/>
      </w:pPr>
      <w:r>
        <w:t>第九十八条</w:t>
      </w:r>
    </w:p>
    <w:p>
      <w:pPr>
        <w:pStyle w:val="8"/>
      </w:pPr>
      <w:r>
        <w:t>会计师事务所、律师事务所、资产评估机构、期货保证金存管机构、交割库、信息技术服务机构等期货服务机构，应当勤勉尽责、恪尽职守，按照相关业务规则为期货交易及相关活动提供服务，并按照国务院期货监督管理机构的要求提供相关资料。</w:t>
      </w:r>
    </w:p>
    <w:p>
      <w:pPr>
        <w:pStyle w:val="4"/>
      </w:pPr>
      <w:r>
        <w:t>第九十九条</w:t>
      </w:r>
    </w:p>
    <w:p>
      <w:pPr>
        <w:pStyle w:val="8"/>
      </w:pPr>
      <w:r>
        <w:t>会计师事务所、律师事务所、资产评估机构等期货服务机构接受期货经营机构、期货交易场所、期货结算机构的委托出具审计报告、法律意见书等文件，应当对所依据的文件资料内容的真实性、准确性、完整性进行核查和验证。</w:t>
      </w:r>
    </w:p>
    <w:p>
      <w:pPr>
        <w:pStyle w:val="4"/>
      </w:pPr>
      <w:r>
        <w:t>第一百条</w:t>
      </w:r>
    </w:p>
    <w:p>
      <w:pPr>
        <w:pStyle w:val="8"/>
      </w:pPr>
      <w:r>
        <w:t>交割库包括交割仓库和交割厂库等。交割库为期货交易的交割提供相关服务，应当符合期货交易场所规定的条件。期货交易场所应当与交割库签订协议，明确双方的权利和义务。</w:t>
      </w:r>
    </w:p>
    <w:p>
      <w:pPr>
        <w:pStyle w:val="8"/>
      </w:pPr>
      <w:r>
        <w:t>交割库不得有下列行为：</w:t>
      </w:r>
    </w:p>
    <w:p>
      <w:pPr>
        <w:pStyle w:val="8"/>
      </w:pPr>
      <w:r>
        <w:t>（一）出具虚假仓单；</w:t>
      </w:r>
    </w:p>
    <w:p>
      <w:pPr>
        <w:pStyle w:val="8"/>
      </w:pPr>
      <w:r>
        <w:t>（二）违反期货交易场所的业务规则，限制交割商品的出库、入库；</w:t>
      </w:r>
    </w:p>
    <w:p>
      <w:pPr>
        <w:pStyle w:val="8"/>
      </w:pPr>
      <w:r>
        <w:t>（三）泄露与期货交易有关的商业秘密；</w:t>
      </w:r>
    </w:p>
    <w:p>
      <w:pPr>
        <w:pStyle w:val="8"/>
      </w:pPr>
      <w:r>
        <w:t>（四）违反国家有关规定参与期货交易；</w:t>
      </w:r>
    </w:p>
    <w:p>
      <w:pPr>
        <w:pStyle w:val="8"/>
      </w:pPr>
      <w:r>
        <w:t>（五）违反国务院期货监督管理机构规定的其他行为。</w:t>
      </w:r>
    </w:p>
    <w:p>
      <w:pPr>
        <w:pStyle w:val="4"/>
      </w:pPr>
      <w:r>
        <w:t>第一百零一条</w:t>
      </w:r>
    </w:p>
    <w:p>
      <w:pPr>
        <w:pStyle w:val="8"/>
      </w:pPr>
      <w:r>
        <w:t>为期货交易及相关活动提供信息技术系统服务的机构，应当符合国家及期货行业信息安全相关的技术管理规定和标准，并向国务院期货监督管理机构备案。</w:t>
      </w:r>
    </w:p>
    <w:p>
      <w:pPr>
        <w:pStyle w:val="8"/>
      </w:pPr>
      <w:r>
        <w:t>国务院期货监督管理机构可以依法要求信息技术服务机构提供前款规定的信息技术系统的相关材料。</w:t>
      </w:r>
    </w:p>
    <w:p>
      <w:pPr>
        <w:pStyle w:val="2"/>
      </w:pPr>
      <w:r>
        <w:t>第九章 期货业协会</w:t>
      </w:r>
    </w:p>
    <w:p>
      <w:pPr>
        <w:pStyle w:val="4"/>
      </w:pPr>
      <w:r>
        <w:t>第一百零二条</w:t>
      </w:r>
    </w:p>
    <w:p>
      <w:pPr>
        <w:pStyle w:val="8"/>
      </w:pPr>
      <w:r>
        <w:t>期货业协会是期货行业的自律性组织，是社会团体法人。</w:t>
      </w:r>
    </w:p>
    <w:p>
      <w:pPr>
        <w:pStyle w:val="8"/>
      </w:pPr>
      <w:r>
        <w:t>期货经营机构应当加入期货业协会。期货服务机构可以加入期货业协会。</w:t>
      </w:r>
    </w:p>
    <w:p>
      <w:pPr>
        <w:pStyle w:val="4"/>
      </w:pPr>
      <w:r>
        <w:t>第一百零三条</w:t>
      </w:r>
    </w:p>
    <w:p>
      <w:pPr>
        <w:pStyle w:val="8"/>
      </w:pPr>
      <w:r>
        <w:t>期货业协会的权力机构为会员大会。</w:t>
      </w:r>
    </w:p>
    <w:p>
      <w:pPr>
        <w:pStyle w:val="8"/>
      </w:pPr>
      <w:r>
        <w:t>期货业协会的章程由会员大会制定，并报国务院期货监督管理机构备案。</w:t>
      </w:r>
    </w:p>
    <w:p>
      <w:pPr>
        <w:pStyle w:val="8"/>
      </w:pPr>
      <w:r>
        <w:t>期货业协会设理事会。理事会成员依照章程的规定选举产生。</w:t>
      </w:r>
    </w:p>
    <w:p>
      <w:pPr>
        <w:pStyle w:val="4"/>
      </w:pPr>
      <w:r>
        <w:t>第一百零四条</w:t>
      </w:r>
    </w:p>
    <w:p>
      <w:pPr>
        <w:pStyle w:val="8"/>
      </w:pPr>
      <w:r>
        <w:t>期货业协会履行下列职责：</w:t>
      </w:r>
    </w:p>
    <w:p>
      <w:pPr>
        <w:pStyle w:val="8"/>
      </w:pPr>
      <w:r>
        <w:t>（一）制定和实施行业自律规则，监督、检查会员的业务活动及从业人员的执业行为，对违反法律、行政法规、国家有关规定、协会章程和自律规则的，按照规定给予纪律处分或者实施其他自律管理措施；</w:t>
      </w:r>
    </w:p>
    <w:p>
      <w:pPr>
        <w:pStyle w:val="8"/>
      </w:pPr>
      <w:r>
        <w:t>（二）对会员之间、会员与交易者之间发生的纠纷进行调解；</w:t>
      </w:r>
    </w:p>
    <w:p>
      <w:pPr>
        <w:pStyle w:val="8"/>
      </w:pPr>
      <w:r>
        <w:t>（三）依法维护会员的合法权益，向国务院期货监督管理机构反映会员的建议和要求；</w:t>
      </w:r>
    </w:p>
    <w:p>
      <w:pPr>
        <w:pStyle w:val="8"/>
      </w:pPr>
      <w:r>
        <w:t>（四）组织期货从业人员的业务培训，开展会员间的业务交流；</w:t>
      </w:r>
    </w:p>
    <w:p>
      <w:pPr>
        <w:pStyle w:val="8"/>
      </w:pPr>
      <w:r>
        <w:t>（五）教育会员和期货从业人员遵守期货法律法规和政策，组织开展行业诚信建设，建立行业诚信激励约束机制；</w:t>
      </w:r>
    </w:p>
    <w:p>
      <w:pPr>
        <w:pStyle w:val="8"/>
      </w:pPr>
      <w:r>
        <w:t>（六）开展交易者教育和保护工作，督促会员落实交易者适当性管理制度，开展期货市场宣传；</w:t>
      </w:r>
    </w:p>
    <w:p>
      <w:pPr>
        <w:pStyle w:val="8"/>
      </w:pPr>
      <w:r>
        <w:t>（七）对会员的信息安全工作实行自律管理，督促会员执行国家和行业信息安全相关规定和技术标准；</w:t>
      </w:r>
    </w:p>
    <w:p>
      <w:pPr>
        <w:pStyle w:val="8"/>
      </w:pPr>
      <w:r>
        <w:t>（八）组织会员就期货行业的发展、运作及有关内容进行研究，收集整理、发布期货相关信息，提供会员服务，组织行业交流，引导行业创新发展；</w:t>
      </w:r>
    </w:p>
    <w:p>
      <w:pPr>
        <w:pStyle w:val="8"/>
      </w:pPr>
      <w:r>
        <w:t>（九）期货业协会章程规定的其他职责。</w:t>
      </w:r>
    </w:p>
    <w:p>
      <w:pPr>
        <w:pStyle w:val="2"/>
      </w:pPr>
      <w:r>
        <w:t>第十章 监督管理</w:t>
      </w:r>
    </w:p>
    <w:p>
      <w:pPr>
        <w:pStyle w:val="4"/>
      </w:pPr>
      <w:r>
        <w:t>第一百零五条</w:t>
      </w:r>
    </w:p>
    <w:p>
      <w:pPr>
        <w:pStyle w:val="8"/>
      </w:pPr>
      <w:r>
        <w:t>国务院期货监督管理机构依法对期货市场实行监督管理，维护期货市场公开、公平、公正，防范系统性风险，维护交易者合法权益，促进期货市场健康发展。</w:t>
      </w:r>
    </w:p>
    <w:p>
      <w:pPr>
        <w:pStyle w:val="8"/>
      </w:pPr>
      <w:r>
        <w:t>国务院期货监督管理机构在对期货市场实施监督管理中，依法履行下列职责：</w:t>
      </w:r>
    </w:p>
    <w:p>
      <w:pPr>
        <w:pStyle w:val="8"/>
      </w:pPr>
      <w:r>
        <w:t>（一）制定有关期货市场监督管理的规章、规则，并依法进行审批、核准、注册，办理备案；</w:t>
      </w:r>
    </w:p>
    <w:p>
      <w:pPr>
        <w:pStyle w:val="8"/>
      </w:pPr>
      <w:r>
        <w:t>（二）对品种的上市、交易、结算、交割等期货交易及相关活动，进行监督管理；</w:t>
      </w:r>
    </w:p>
    <w:p>
      <w:pPr>
        <w:pStyle w:val="8"/>
      </w:pPr>
      <w:r>
        <w:t>（三）对期货经营机构、期货交易场所、期货结算机构、期货服务机构和非期货经营机构结算参与人等市场相关参与者的期货业务活动，进行监督管理；</w:t>
      </w:r>
    </w:p>
    <w:p>
      <w:pPr>
        <w:pStyle w:val="8"/>
      </w:pPr>
      <w:r>
        <w:t>（四）制定期货从业人员的行为准则，并监督实施；</w:t>
      </w:r>
    </w:p>
    <w:p>
      <w:pPr>
        <w:pStyle w:val="8"/>
      </w:pPr>
      <w:r>
        <w:t>（五）监督检查期货交易的信息公开情况；</w:t>
      </w:r>
    </w:p>
    <w:p>
      <w:pPr>
        <w:pStyle w:val="8"/>
      </w:pPr>
      <w:r>
        <w:t>（六）维护交易者合法权益、开展交易者教育；</w:t>
      </w:r>
    </w:p>
    <w:p>
      <w:pPr>
        <w:pStyle w:val="8"/>
      </w:pPr>
      <w:r>
        <w:t>（七）对期货违法行为进行查处；</w:t>
      </w:r>
    </w:p>
    <w:p>
      <w:pPr>
        <w:pStyle w:val="8"/>
      </w:pPr>
      <w:r>
        <w:t>（八）监测监控并防范、处置期货市场风险；</w:t>
      </w:r>
    </w:p>
    <w:p>
      <w:pPr>
        <w:pStyle w:val="8"/>
      </w:pPr>
      <w:r>
        <w:t>（九）对期货行业金融科技和信息安全进行监管；</w:t>
      </w:r>
    </w:p>
    <w:p>
      <w:pPr>
        <w:pStyle w:val="8"/>
      </w:pPr>
      <w:r>
        <w:t>（十）对期货业协会的自律管理活动进行指导和监督；</w:t>
      </w:r>
    </w:p>
    <w:p>
      <w:pPr>
        <w:pStyle w:val="8"/>
      </w:pPr>
      <w:r>
        <w:t>（十一）法律、行政法规规定的其他职责。</w:t>
      </w:r>
    </w:p>
    <w:p>
      <w:pPr>
        <w:pStyle w:val="8"/>
      </w:pPr>
      <w:r>
        <w:t>国务院期货监督管理机构根据需要可以设立派出机构，依照授权履行监督管理职责。</w:t>
      </w:r>
    </w:p>
    <w:p>
      <w:pPr>
        <w:pStyle w:val="4"/>
      </w:pPr>
      <w:r>
        <w:t>第一百零六条</w:t>
      </w:r>
    </w:p>
    <w:p>
      <w:pPr>
        <w:pStyle w:val="8"/>
      </w:pPr>
      <w:r>
        <w:t>国务院期货监督管理机构依法履行职责，有权采取下列措施：</w:t>
      </w:r>
    </w:p>
    <w:p>
      <w:pPr>
        <w:pStyle w:val="8"/>
      </w:pPr>
      <w:r>
        <w:t>（一）对期货经营机构、期货交易场所、期货结算机构进行现场检查，并要求其报送有关的财务会计、业务活动、内部控制等资料；</w:t>
      </w:r>
    </w:p>
    <w:p>
      <w:pPr>
        <w:pStyle w:val="8"/>
      </w:pPr>
      <w:r>
        <w:t>（二）进入涉嫌违法行为发生场所调查取证；</w:t>
      </w:r>
    </w:p>
    <w:p>
      <w:pPr>
        <w:pStyle w:val="8"/>
      </w:pPr>
      <w:r>
        <w:t>（三）询问当事人和与被调查事件有关的单位和个人，要求其对与被调查事件有关的事项作出说明，或者要求其按照指定的方式报送与被调查事件有关的文件和资料；</w:t>
      </w:r>
    </w:p>
    <w:p>
      <w:pPr>
        <w:pStyle w:val="8"/>
      </w:pPr>
      <w:r>
        <w:t>（四）查阅、复制与被调查事件有关的财产权登记、通讯记录等文件和资料；</w:t>
      </w:r>
    </w:p>
    <w:p>
      <w:pPr>
        <w:pStyle w:val="8"/>
      </w:pPr>
      <w:r>
        <w:t>（五）查阅、复制当事人和与被调查事件有关的单位和个人的期货交易记录、财务会计资料及其他相关文件和资料；对可能被转移、隐匿或者毁损的文件资料，可以予以封存、扣押；</w:t>
      </w:r>
    </w:p>
    <w:p>
      <w:pPr>
        <w:pStyle w:val="8"/>
      </w:pPr>
      <w:r>
        <w:t>（六）查询当事人和与被调查事件有关的单位和个人的保证金账户和银行账户以及其他具有支付、托管、结算等功能的账户信息，可以对有关文件和资料进行复制；对有证据证明已经或者可能转移或者隐匿违法资金等涉案财产或者隐匿、伪造、毁损重要证据的，经国务院期货监督管理机构主要负责人或者其授权的其他负责人批准，可以冻结、查封，期限为六个月；因特殊原因需要延长的，每次延长期限不得超过三个月，最长期限不得超过二年；</w:t>
      </w:r>
    </w:p>
    <w:p>
      <w:pPr>
        <w:pStyle w:val="8"/>
      </w:pPr>
      <w:r>
        <w:t>（七）在调查操纵期货市场、内幕交易等重大违法行为时，经国务院期货监督管理机构主要负责人或者其授权的其他负责人批准，可以限制被调查事件当事人的交易，但限制的时间不得超过三个月；案情复杂的，可以延长三个月；</w:t>
      </w:r>
    </w:p>
    <w:p>
      <w:pPr>
        <w:pStyle w:val="8"/>
      </w:pPr>
      <w:r>
        <w:t>（八）决定并通知出境入境管理机关依法阻止涉嫌违法人员、涉嫌违法单位的主管人员和其他直接责任人员出境。</w:t>
      </w:r>
    </w:p>
    <w:p>
      <w:pPr>
        <w:pStyle w:val="8"/>
      </w:pPr>
      <w:r>
        <w:t>为防范期货市场风险，维护市场秩序，国务院期货监督管理机构可以采取责令改正、监管谈话、出具警示函等措施。</w:t>
      </w:r>
    </w:p>
    <w:p>
      <w:pPr>
        <w:pStyle w:val="4"/>
      </w:pPr>
      <w:r>
        <w:t>第一百零七条</w:t>
      </w:r>
    </w:p>
    <w:p>
      <w:pPr>
        <w:pStyle w:val="8"/>
      </w:pPr>
      <w:r>
        <w:t>国务院期货监督管理机构依法履行职责，进行监督检查或者调查，其监督检查、调查的人员不得少于二人，并应当出示执法证件和检查、调查、查询等相关执法文书。监督检查、调查的人员少于二人或者未出示执法证件和有关执法文书的，被检查、调查的单位或者个人有权拒绝。</w:t>
      </w:r>
    </w:p>
    <w:p>
      <w:pPr>
        <w:pStyle w:val="4"/>
      </w:pPr>
      <w:r>
        <w:t>第一百零八条</w:t>
      </w:r>
    </w:p>
    <w:p>
      <w:pPr>
        <w:pStyle w:val="8"/>
      </w:pPr>
      <w:r>
        <w:t>国务院期货监督管理机构的工作人员，应当依法办事，忠于职守，公正廉洁，保守国家秘密和有关当事人的商业秘密，不得利用职务便利牟取不正当利益。</w:t>
      </w:r>
    </w:p>
    <w:p>
      <w:pPr>
        <w:pStyle w:val="4"/>
      </w:pPr>
      <w:r>
        <w:t>第一百零九条</w:t>
      </w:r>
    </w:p>
    <w:p>
      <w:pPr>
        <w:pStyle w:val="8"/>
      </w:pPr>
      <w:r>
        <w:t>国务院期货监督管理机构依法履行职责，被检查、调查的单位和个人应当配合，如实作出说明或者提供有关文件和资料，不得拒绝、阻碍和隐瞒。</w:t>
      </w:r>
    </w:p>
    <w:p>
      <w:pPr>
        <w:pStyle w:val="8"/>
      </w:pPr>
      <w:r>
        <w:t>国务院期货监督管理机构与其他相关部门，应当建立信息共享等监督管理协调配合机制。国务院期货监督管理机构依法履行职责，进行监督检查或者调查时，有关部门应当予以配合。</w:t>
      </w:r>
    </w:p>
    <w:p>
      <w:pPr>
        <w:pStyle w:val="4"/>
      </w:pPr>
      <w:r>
        <w:t>第一百一十条</w:t>
      </w:r>
    </w:p>
    <w:p>
      <w:pPr>
        <w:pStyle w:val="8"/>
      </w:pPr>
      <w:r>
        <w:t>对涉嫌期货违法、违规行为，任何单位和个人有权向国务院期货监督管理机构举报。</w:t>
      </w:r>
    </w:p>
    <w:p>
      <w:pPr>
        <w:pStyle w:val="8"/>
      </w:pPr>
      <w:r>
        <w:t>对涉嫌重大违法、违规行为的实名举报线索经查证属实的，国务院期货监督管理机构按照规定给予举报人奖励。</w:t>
      </w:r>
    </w:p>
    <w:p>
      <w:pPr>
        <w:pStyle w:val="8"/>
      </w:pPr>
      <w:r>
        <w:t>国务院期货监督管理机构应当对举报人的身份信息保密。</w:t>
      </w:r>
    </w:p>
    <w:p>
      <w:pPr>
        <w:pStyle w:val="4"/>
      </w:pPr>
      <w:r>
        <w:t>第一百一十一条</w:t>
      </w:r>
    </w:p>
    <w:p>
      <w:pPr>
        <w:pStyle w:val="8"/>
      </w:pPr>
      <w:r>
        <w:t>国务院期货监督管理机构制定的规章、规则和监督管理工作制度应当依法公开。</w:t>
      </w:r>
    </w:p>
    <w:p>
      <w:pPr>
        <w:pStyle w:val="8"/>
      </w:pPr>
      <w:r>
        <w:t>国务院期货监督管理机构依据调查结果，对期货违法行为作出的处罚决定，应当依法公开。</w:t>
      </w:r>
    </w:p>
    <w:p>
      <w:pPr>
        <w:pStyle w:val="4"/>
      </w:pPr>
      <w:r>
        <w:t>第一百一十二条</w:t>
      </w:r>
    </w:p>
    <w:p>
      <w:pPr>
        <w:pStyle w:val="8"/>
      </w:pPr>
      <w:r>
        <w:t>国务院期货监督管理机构对涉嫌期货违法的单位或者个人进行调查期间，被调查的当事人书面申请，承诺在国务院期货监督管理机构认可的期限内纠正涉嫌违法行为，赔偿有关交易者损失，消除损害或者不良影响的，国务院期货监督管理机构可以决定中止调查。被调查的当事人履行承诺的，国务院期货监督管理机构可以决定终止调查；被调查的当事人未履行承诺或者有国务院规定的其他情形的，应当恢复调查。具体办法由国务院规定。</w:t>
      </w:r>
    </w:p>
    <w:p>
      <w:pPr>
        <w:pStyle w:val="8"/>
      </w:pPr>
      <w:r>
        <w:t>国务院期货监督管理机构中止或者终止调查的，应当按照规定公开相关信息。</w:t>
      </w:r>
    </w:p>
    <w:p>
      <w:pPr>
        <w:pStyle w:val="4"/>
      </w:pPr>
      <w:r>
        <w:t>第一百一十三条</w:t>
      </w:r>
    </w:p>
    <w:p>
      <w:pPr>
        <w:pStyle w:val="8"/>
      </w:pPr>
      <w:r>
        <w:t>国务院期货监督管理机构依法将有关期货市场主体遵守本法的情况纳入期货市场诚信档案。</w:t>
      </w:r>
    </w:p>
    <w:p>
      <w:pPr>
        <w:pStyle w:val="4"/>
      </w:pPr>
      <w:r>
        <w:t>第一百一十四条</w:t>
      </w:r>
    </w:p>
    <w:p>
      <w:pPr>
        <w:pStyle w:val="8"/>
      </w:pPr>
      <w:r>
        <w:t>国务院期货监督管理机构依法履行职责，发现期货违法行为涉嫌犯罪的，应当依法将案件移送司法机关处理；发现公职人员涉嫌职务违法或者职务犯罪的，应当依法移送监察机关处理。</w:t>
      </w:r>
    </w:p>
    <w:p>
      <w:pPr>
        <w:pStyle w:val="4"/>
      </w:pPr>
      <w:r>
        <w:t>第一百一十五条</w:t>
      </w:r>
    </w:p>
    <w:p>
      <w:pPr>
        <w:pStyle w:val="8"/>
      </w:pPr>
      <w:r>
        <w:t>国务院期货监督管理机构应当建立健全期货市场监测监控制度，通过专门机构加强保证金安全存管监控。</w:t>
      </w:r>
    </w:p>
    <w:p>
      <w:pPr>
        <w:pStyle w:val="4"/>
      </w:pPr>
      <w:r>
        <w:t>第一百一十六条</w:t>
      </w:r>
    </w:p>
    <w:p>
      <w:pPr>
        <w:pStyle w:val="8"/>
      </w:pPr>
      <w:r>
        <w:t>为防范交易及结算的风险，期货经营机构、期货交易场所、期货结算机构和非期货经营机构结算参与人应当从业务收入中按照国务院期货监督管理机构、国务院财政部门的规定提取、管理和使用风险准备金。</w:t>
      </w:r>
    </w:p>
    <w:p>
      <w:pPr>
        <w:pStyle w:val="4"/>
      </w:pPr>
      <w:r>
        <w:t>第一百一十七条</w:t>
      </w:r>
    </w:p>
    <w:p>
      <w:pPr>
        <w:pStyle w:val="8"/>
      </w:pPr>
      <w:r>
        <w:t>期货经营机构、期货交易场所、期货结算机构、期货服务机构和非期货经营机构结算参与人等应当按照规定妥善保存与业务经营相关的资料和信息，任何人不得泄露、隐匿、伪造、篡改或者毁损。期货经营机构、期货交易场所、期货结算机构和非期货经营机构结算参与人的信息和资料的保存期限不得少于二十年；期货服务机构的信息和资料的保存期限不得少于十年。</w:t>
      </w:r>
    </w:p>
    <w:p>
      <w:pPr>
        <w:pStyle w:val="2"/>
      </w:pPr>
      <w:r>
        <w:t>第十一章 跨境交易与监管协作</w:t>
      </w:r>
    </w:p>
    <w:p>
      <w:pPr>
        <w:pStyle w:val="4"/>
      </w:pPr>
      <w:r>
        <w:t>第一百一十八条</w:t>
      </w:r>
    </w:p>
    <w:p>
      <w:pPr>
        <w:pStyle w:val="8"/>
      </w:pPr>
      <w:r>
        <w:t>境外期货交易场所向境内单位或者个人提供直接接入该交易场所交易系统进行交易服务的，应当向国务院期货监督管理机构申请注册，接受国务院期货监督管理机构的监督管理，国务院期货监督管理机构另有规定的除外。</w:t>
      </w:r>
    </w:p>
    <w:p>
      <w:pPr>
        <w:pStyle w:val="4"/>
      </w:pPr>
      <w:r>
        <w:t>第一百一十九条</w:t>
      </w:r>
    </w:p>
    <w:p>
      <w:pPr>
        <w:pStyle w:val="8"/>
      </w:pPr>
      <w:r>
        <w:t>境外期货交易场所上市的期货合约、期权合约和衍生品合约，以境内期货交易场所上市的合约价格进行挂钩结算的，应当符合国务院期货监督管理机构的规定。</w:t>
      </w:r>
    </w:p>
    <w:p>
      <w:pPr>
        <w:pStyle w:val="4"/>
      </w:pPr>
      <w:r>
        <w:t>第一百二十条</w:t>
      </w:r>
    </w:p>
    <w:p>
      <w:pPr>
        <w:pStyle w:val="8"/>
      </w:pPr>
      <w:r>
        <w:t>境内单位或者个人从事境外期货交易，应当委托具有境外期货经纪业务资格的境内期货经营机构进行，国务院另有规定的除外。</w:t>
      </w:r>
    </w:p>
    <w:p>
      <w:pPr>
        <w:pStyle w:val="8"/>
      </w:pPr>
      <w:r>
        <w:t>境内期货经营机构转委托境外期货经营机构从事境外期货交易的，该境外期货经营机构应当向国务院期货监督管理机构申请注册，接受国务院期货监督管理机构的监督管理，国务院期货监督管理机构另有规定的除外。</w:t>
      </w:r>
    </w:p>
    <w:p>
      <w:pPr>
        <w:pStyle w:val="4"/>
      </w:pPr>
      <w:r>
        <w:t>第一百二十一条</w:t>
      </w:r>
    </w:p>
    <w:p>
      <w:pPr>
        <w:pStyle w:val="8"/>
      </w:pPr>
      <w:r>
        <w:t>境外期货交易场所在境内设立代表机构的，应当向国务院期货监督管理机构备案。</w:t>
      </w:r>
    </w:p>
    <w:p>
      <w:pPr>
        <w:pStyle w:val="8"/>
      </w:pPr>
      <w:r>
        <w:t>境外期货交易场所代表机构及其工作人员，不得从事或者变相从事任何经营活动。</w:t>
      </w:r>
    </w:p>
    <w:p>
      <w:pPr>
        <w:pStyle w:val="4"/>
      </w:pPr>
      <w:r>
        <w:t>第一百二十二条</w:t>
      </w:r>
    </w:p>
    <w:p>
      <w:pPr>
        <w:pStyle w:val="8"/>
      </w:pPr>
      <w:r>
        <w:t>境外机构在境内从事期货市场营销、推介及招揽活动，应当经国务院期货监督管理机构批准，适用本法的相关规定。</w:t>
      </w:r>
    </w:p>
    <w:p>
      <w:pPr>
        <w:pStyle w:val="8"/>
      </w:pPr>
      <w:r>
        <w:t>境内机构为境外机构在境内从事期货市场营销、推介及招揽活动，应当经国务院期货监督管理机构批准。</w:t>
      </w:r>
    </w:p>
    <w:p>
      <w:pPr>
        <w:pStyle w:val="8"/>
      </w:pPr>
      <w:r>
        <w:t>任何单位或者个人不得从事违反前两款规定的期货市场营销、推介及招揽活动。</w:t>
      </w:r>
    </w:p>
    <w:p>
      <w:pPr>
        <w:pStyle w:val="4"/>
      </w:pPr>
      <w:r>
        <w:t>第一百二十三条</w:t>
      </w:r>
    </w:p>
    <w:p>
      <w:pPr>
        <w:pStyle w:val="8"/>
      </w:pPr>
      <w:r>
        <w:t>国务院期货监督管理机构可以和境外期货监督管理机构建立监督管理合作机制，或者加入国际组织，实施跨境监督管理。</w:t>
      </w:r>
    </w:p>
    <w:p>
      <w:pPr>
        <w:pStyle w:val="8"/>
      </w:pPr>
      <w:r>
        <w:t>国务院期货监督管理机构应境外期货监督管理机构请求提供协助的，应当遵循国家法律、法规的规定和对等互惠的原则，不得泄露国家秘密，不得损害国家利益和社会公共利益。</w:t>
      </w:r>
    </w:p>
    <w:p>
      <w:pPr>
        <w:pStyle w:val="4"/>
      </w:pPr>
      <w:r>
        <w:t>第一百二十四条</w:t>
      </w:r>
    </w:p>
    <w:p>
      <w:pPr>
        <w:pStyle w:val="8"/>
      </w:pPr>
      <w:r>
        <w:t>国务院期货监督管理机构可以按照与境外期货监督管理机构达成的监管合作安排，接受境外期货监督管理机构的请求，依照本法规定的职责和程序为其进行调查取证。境外期货监督管理机构应当提供有关案件材料，并说明其正在就被调查当事人涉嫌违反请求方当地期货法律法规的行为进行调查。境外期货监督管理机构不得在中华人民共和国境内直接进行调查取证等活动。</w:t>
      </w:r>
    </w:p>
    <w:p>
      <w:pPr>
        <w:pStyle w:val="8"/>
      </w:pPr>
      <w:r>
        <w:t>未经国务院期货监督管理机构和国务院有关主管部门同意，任何单位和个人不得擅自向境外监督管理机构提供与期货业务活动有关的文件和资料。</w:t>
      </w:r>
    </w:p>
    <w:p>
      <w:pPr>
        <w:pStyle w:val="8"/>
      </w:pPr>
      <w:r>
        <w:t>国务院期货监督管理机构可以依照与境外期货监督管理机构达成的监管合作安排，请求境外期货监督管理机构进行调查取证。</w:t>
      </w:r>
    </w:p>
    <w:p>
      <w:pPr>
        <w:pStyle w:val="2"/>
      </w:pPr>
      <w:r>
        <w:t>第十二章 法律责任</w:t>
      </w:r>
    </w:p>
    <w:p>
      <w:pPr>
        <w:pStyle w:val="4"/>
      </w:pPr>
      <w:r>
        <w:t>第一百二十五条</w:t>
      </w:r>
    </w:p>
    <w:p>
      <w:pPr>
        <w:pStyle w:val="8"/>
      </w:pPr>
      <w:r>
        <w:t>违反本法第十二条的规定，操纵期货市场或者衍生品市场的，责令改正，没收违法所得，并处以违法所得一倍以上十倍以下的罚款；没有违法所得或者违法所得不足一百万元的，处以一百万元以上一千万元以下的罚款。单位操纵市场的，还应当对直接负责的主管人员和其他直接责任人员给予警告，并处以五十万元以上五百万元以下的罚款。</w:t>
      </w:r>
    </w:p>
    <w:p>
      <w:pPr>
        <w:pStyle w:val="8"/>
      </w:pPr>
      <w:r>
        <w:t>操纵市场行为给交易者造成损失的，应当依法承担赔偿责任。</w:t>
      </w:r>
    </w:p>
    <w:p>
      <w:pPr>
        <w:pStyle w:val="4"/>
      </w:pPr>
      <w:r>
        <w:t>第一百二十六条</w:t>
      </w:r>
    </w:p>
    <w:p>
      <w:pPr>
        <w:pStyle w:val="8"/>
      </w:pPr>
      <w:r>
        <w:t>违反本法第十三条的规定从事内幕交易的，责令改正，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w:t>
      </w:r>
    </w:p>
    <w:p>
      <w:pPr>
        <w:pStyle w:val="8"/>
      </w:pPr>
      <w:r>
        <w:t>国务院期货监督管理机构、国务院授权的部门、期货交易场所、期货结算机构的工作人员从事内幕交易的，从重处罚。</w:t>
      </w:r>
    </w:p>
    <w:p>
      <w:pPr>
        <w:pStyle w:val="8"/>
      </w:pPr>
      <w:r>
        <w:t>内幕交易行为给交易者造成损失的，应当依法承担赔偿责任。</w:t>
      </w:r>
    </w:p>
    <w:p>
      <w:pPr>
        <w:pStyle w:val="4"/>
      </w:pPr>
      <w:r>
        <w:t>第一百二十七条</w:t>
      </w:r>
    </w:p>
    <w:p>
      <w:pPr>
        <w:pStyle w:val="8"/>
      </w:pPr>
      <w:r>
        <w:t>违反本法第十六条第一款、第三款的规定，编造、传播虚假信息或者误导性信息，扰乱期货市场、衍生品市场的，没收违法所得，并处以违法所得一倍以上十倍以下的罚款；没有违法所得或者违法所得不足二十万元的，处以二十万元以上二百万元以下的罚款。对直接负责的主管人员和其他直接责任人员给予警告，并处以十万元以上一百万元以下的罚款。</w:t>
      </w:r>
    </w:p>
    <w:p>
      <w:pPr>
        <w:pStyle w:val="8"/>
      </w:pPr>
      <w:r>
        <w:t>违反本法第十六条第二款的规定，在期货交易、衍生品交易活动中作出虚假陈述或者信息误导的，责令改正，处以二十万元以上二百万元以下的罚款；属于国家工作人员的，还应当依法给予处分。</w:t>
      </w:r>
    </w:p>
    <w:p>
      <w:pPr>
        <w:pStyle w:val="8"/>
      </w:pPr>
      <w:r>
        <w:t>传播媒介及其从事期货市场、衍生品市场信息报道的工作人员违反本法第十六条第三款的规定，从事与其工作职责发生利益冲突的期货交易、衍生品交易的，没收违法所得，并处以违法所得一倍以下的罚款，没有违法所得或者违法所得不足十万元的，处以十万元以下的罚款。</w:t>
      </w:r>
    </w:p>
    <w:p>
      <w:pPr>
        <w:pStyle w:val="8"/>
      </w:pPr>
      <w:r>
        <w:t>编造、传播有关期货交易、衍生品交易的虚假信息，或者在期货交易、衍生品交易中作出信息误导，给交易者造成损失的，应当依法承担赔偿责任。</w:t>
      </w:r>
    </w:p>
    <w:p>
      <w:pPr>
        <w:pStyle w:val="4"/>
      </w:pPr>
      <w:r>
        <w:t>第一百二十八条</w:t>
      </w:r>
    </w:p>
    <w:p>
      <w:pPr>
        <w:pStyle w:val="8"/>
      </w:pPr>
      <w:r>
        <w:t>违反本法第十八条第二款的规定，出借自己的期货账户或者借用他人的期货账户从事期货交易的，责令改正，给予警告，可以处五十万元以下的罚款。</w:t>
      </w:r>
    </w:p>
    <w:p>
      <w:pPr>
        <w:pStyle w:val="4"/>
      </w:pPr>
      <w:r>
        <w:t>第一百二十九条</w:t>
      </w:r>
    </w:p>
    <w:p>
      <w:pPr>
        <w:pStyle w:val="8"/>
      </w:pPr>
      <w:r>
        <w:t>违反本法第二十一条的规定，采取程序化交易影响期货交易场所系统安全或者正常交易秩序的，责令改正，并处以五十万元以上五百万元以下的罚款。对直接负责的主管人员和其他直接责任人员给予警告，并处以十万元以上一百万元以下的罚款。</w:t>
      </w:r>
    </w:p>
    <w:p>
      <w:pPr>
        <w:pStyle w:val="4"/>
      </w:pPr>
      <w:r>
        <w:t>第一百三十条</w:t>
      </w:r>
    </w:p>
    <w:p>
      <w:pPr>
        <w:pStyle w:val="8"/>
      </w:pPr>
      <w:r>
        <w:t>违反本法第二十七条规定，未报告有关重大事项的，责令改正，给予警告，可以处一百万元以下的罚款。</w:t>
      </w:r>
    </w:p>
    <w:p>
      <w:pPr>
        <w:pStyle w:val="4"/>
      </w:pPr>
      <w:r>
        <w:t>第一百三十一条</w:t>
      </w:r>
    </w:p>
    <w:p>
      <w:pPr>
        <w:pStyle w:val="8"/>
      </w:pPr>
      <w:r>
        <w:t>法律、行政法规和国务院期货监督管理机构规定禁止参与期货交易的人员，违反本法第五十三条的规定，直接或者以化名、借他人名义参与期货交易的，责令改正，给予警告，没收违法所得，并处以五万元以上五十万元以下的罚款；属于国家工作人员的，还应当依法给予处分。</w:t>
      </w:r>
    </w:p>
    <w:p>
      <w:pPr>
        <w:pStyle w:val="4"/>
      </w:pPr>
      <w:r>
        <w:t>第一百三十二条</w:t>
      </w:r>
    </w:p>
    <w:p>
      <w:pPr>
        <w:pStyle w:val="8"/>
      </w:pPr>
      <w:r>
        <w:t>非法设立期货公司，或者未经核准从事相关期货业务的，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pPr>
        <w:pStyle w:val="4"/>
      </w:pPr>
      <w:r>
        <w:t>第一百三十三条</w:t>
      </w:r>
    </w:p>
    <w:p>
      <w:pPr>
        <w:pStyle w:val="8"/>
      </w:pPr>
      <w:r>
        <w:t>提交虚假申请文件或者采取其他欺诈手段骗取期货公司设立许可、重大事项变更核准或者期货经营机构期货业务许可的，撤销相关许可，没收违法所得，并处以违法所得一倍以上十倍以下的罚款；没有违法所得或者违法所得不足二十万元的，处以二十万元以上二百万元以下的罚款。对直接负责的主管人员和其他直接责任人员给予警告，并处以二十万元以上二百万元以下的罚款。</w:t>
      </w:r>
    </w:p>
    <w:p>
      <w:pPr>
        <w:pStyle w:val="4"/>
      </w:pPr>
      <w:r>
        <w:t>第一百三十四条</w:t>
      </w:r>
    </w:p>
    <w:p>
      <w:pPr>
        <w:pStyle w:val="8"/>
      </w:pPr>
      <w:r>
        <w:t>期货经营机构违反本法第四十条、第六十二条、第六十五条、第六十八条、第七十一条、第七十二条的，责令改正，给予警告，没收违法所得，并处以违法所得一倍以上十倍以下的罚款；没有违法所得或者违法所得不足二十万元的，处以二十万元以上二百万元以下的罚款；情节严重的，责令停业整顿或者吊销期货业务许可证。对直接负责的主管人员和其他直接责任人员给予警告，并处以五万元以上五十万元以下的罚款。</w:t>
      </w:r>
    </w:p>
    <w:p>
      <w:pPr>
        <w:pStyle w:val="8"/>
      </w:pPr>
      <w:r>
        <w:t>期货经营机构有前款所列违法情形，给交易者造成损失的，应当依法承担赔偿责任。</w:t>
      </w:r>
    </w:p>
    <w:p>
      <w:pPr>
        <w:pStyle w:val="8"/>
      </w:pPr>
      <w:r>
        <w:t>期货经营机构的主要股东、实际控制人或者其他关联人违反本法第七十一条规定的，依照本条第一款的规定处罚。</w:t>
      </w:r>
    </w:p>
    <w:p>
      <w:pPr>
        <w:pStyle w:val="4"/>
      </w:pPr>
      <w:r>
        <w:t>第一百三十五条</w:t>
      </w:r>
    </w:p>
    <w:p>
      <w:pPr>
        <w:pStyle w:val="8"/>
      </w:pPr>
      <w:r>
        <w:t>期货经营机构违反本法第五十条交易者适当性管理规定，或者违反本法第六十六条规定从事经纪业务接受交易者全权委托，或者有第七十八条损害交易者利益行为的，责令改正，给予警告，没收违法所得，并处以违法所得一倍以上十倍以下的罚款；没有违法所得或者违法所得不足五十万元的，处以五十万元以上五百万元以下的罚款；情节严重的，吊销相关业务许可。对直接负责的主管人员和其他直接责任人员给予警告，并处以二十万元以上二百万元以下的罚款。</w:t>
      </w:r>
    </w:p>
    <w:p>
      <w:pPr>
        <w:pStyle w:val="8"/>
      </w:pPr>
      <w:r>
        <w:t>期货经营机构有本法第七十八条规定的行为，给交易者造成损失的，应当依法承担赔偿责任。</w:t>
      </w:r>
    </w:p>
    <w:p>
      <w:pPr>
        <w:pStyle w:val="4"/>
      </w:pPr>
      <w:r>
        <w:t>第一百三十六条</w:t>
      </w:r>
    </w:p>
    <w:p>
      <w:pPr>
        <w:pStyle w:val="8"/>
      </w:pPr>
      <w:r>
        <w:t>违反本法第十一条、第八十条、第九十二条规定，非法设立期货交易场所、期货结算机构，或者以其他形式组织期货交易的，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非法设立期货交易场所的，由县级以上人民政府予以取缔。</w:t>
      </w:r>
    </w:p>
    <w:p>
      <w:pPr>
        <w:pStyle w:val="8"/>
      </w:pPr>
      <w:r>
        <w:t>违反本法第三十条规定，未经批准组织开展衍生品交易的，或者金融机构违反本法第三十一条规定，未经批准、核准开展衍生品交易的，依照前款规定处罚。</w:t>
      </w:r>
    </w:p>
    <w:p>
      <w:pPr>
        <w:pStyle w:val="4"/>
      </w:pPr>
      <w:r>
        <w:t>第一百三十七条</w:t>
      </w:r>
    </w:p>
    <w:p>
      <w:pPr>
        <w:pStyle w:val="8"/>
      </w:pPr>
      <w:r>
        <w:t>期货交易场所、期货结算机构违反本法第十七条、第四十条、第八十五条第二款规定的，责令改正，给予警告，没收违法所得，并处以违法所得一倍以上十倍以下的罚款；没有违法所得或者违法所得不足二十万元的，处以二十万元以上二百万元以下的罚款；情节严重的，责令停业整顿。对直接负责的主管人员和其他直接责任人员处以五万元以上五十万元以下的罚款。</w:t>
      </w:r>
    </w:p>
    <w:p>
      <w:pPr>
        <w:pStyle w:val="4"/>
      </w:pPr>
      <w:r>
        <w:t>第一百三十八条</w:t>
      </w:r>
    </w:p>
    <w:p>
      <w:pPr>
        <w:pStyle w:val="8"/>
      </w:pPr>
      <w:r>
        <w:t>期货交易场所、期货结算机构违反本法第八十八条第三款规定发布价格预测信息的，责令改正，给予警告，并处以二十万元以上二百万元以下的罚款。对直接负责的主管人员和其他直接责任人员处以五万元以上五十万元以下的罚款。</w:t>
      </w:r>
    </w:p>
    <w:p>
      <w:pPr>
        <w:pStyle w:val="4"/>
      </w:pPr>
      <w:r>
        <w:t>第一百三十九条</w:t>
      </w:r>
    </w:p>
    <w:p>
      <w:pPr>
        <w:pStyle w:val="8"/>
      </w:pPr>
      <w:r>
        <w:t>期货服务机构违反本法第九十八条的规定，从事期货服务业务未按照要求提供相关资料的，责令改正，可以处二十万元以下的罚款。</w:t>
      </w:r>
    </w:p>
    <w:p>
      <w:pPr>
        <w:pStyle w:val="4"/>
      </w:pPr>
      <w:r>
        <w:t>第一百四十条</w:t>
      </w:r>
    </w:p>
    <w:p>
      <w:pPr>
        <w:pStyle w:val="8"/>
      </w:pPr>
      <w:r>
        <w:t>会计师事务所、律师事务所、资产评估机构等期货服务机构违反本法第九十九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对直接负责的主管人员和其他直接责任人员给予警告，并处以二十万元以上二百万元以下的罚款。</w:t>
      </w:r>
    </w:p>
    <w:p>
      <w:pPr>
        <w:pStyle w:val="8"/>
      </w:pPr>
      <w:r>
        <w:t>期货服务机构有前款所列违法行为，给他人造成损失的，依法承担赔偿责任。</w:t>
      </w:r>
    </w:p>
    <w:p>
      <w:pPr>
        <w:pStyle w:val="4"/>
      </w:pPr>
      <w:r>
        <w:t>第一百四十一条</w:t>
      </w:r>
    </w:p>
    <w:p>
      <w:pPr>
        <w:pStyle w:val="8"/>
      </w:pPr>
      <w:r>
        <w:t>交割库有本法第一百条所列行为之一的，责令改正，给予警告，没收违法所得，并处以违法所得一倍以上十倍以下的罚款；没有违法所得或者违法所得不足十万元的，处以十万元以上一百万元以下的罚款；情节严重的，责令期货交易场所暂停或者取消其交割库资格。对直接负责的主管人员和其他直接责任人员给予警告，并处以五万元以上五十万元以下的罚款。</w:t>
      </w:r>
    </w:p>
    <w:p>
      <w:pPr>
        <w:pStyle w:val="4"/>
      </w:pPr>
      <w:r>
        <w:t>第一百四十二条</w:t>
      </w:r>
    </w:p>
    <w:p>
      <w:pPr>
        <w:pStyle w:val="8"/>
      </w:pPr>
      <w:r>
        <w:t>信息技术服务机构违反本法第一百零一条规定未报备案的，责令改正，可以处二十万元以下的罚款。</w:t>
      </w:r>
    </w:p>
    <w:p>
      <w:pPr>
        <w:pStyle w:val="8"/>
      </w:pPr>
      <w:r>
        <w:t>信息技术服务机构违反本法第一百零一条规定，提供的服务不符合国家及期货行业信息安全相关的技术管理规定和标准的，责令改正，没收业务收入，并处以业务收入一倍以上十倍以下的罚款；没有业务收入或者业务收入不足五十万元的，处以五十万元以上五百万元以下的罚款。对直接负责的主管人员和其他直接责任人员给予警告，并处以二十万元以上二百万元以下的罚款。</w:t>
      </w:r>
    </w:p>
    <w:p>
      <w:pPr>
        <w:pStyle w:val="4"/>
      </w:pPr>
      <w:r>
        <w:t>第一百四十三条</w:t>
      </w:r>
    </w:p>
    <w:p>
      <w:pPr>
        <w:pStyle w:val="8"/>
      </w:pPr>
      <w:r>
        <w:t>违反本法第一百一十六条的规定，期货经营机构、期货交易场所、期货结算机构和非期货经营机构结算参与人未按照规定提取、管理和使用风险准备金的，责令改正，给予警告。对直接负责的主管人员和其他直接责任人员给予警告，并处以十万元以上一百万元以下的罚款。</w:t>
      </w:r>
    </w:p>
    <w:p>
      <w:pPr>
        <w:pStyle w:val="4"/>
      </w:pPr>
      <w:r>
        <w:t>第一百四十四条</w:t>
      </w:r>
    </w:p>
    <w:p>
      <w:pPr>
        <w:pStyle w:val="8"/>
      </w:pPr>
      <w:r>
        <w:t>违反本法第一百一十七条的规定，期货经营机构、期货交易场所、期货结算机构、期货服务机构和非期货经营机构结算参与人等未按照规定妥善保存与业务经营相关的资料和信息的，责令改正，给予警告，并处以十万元以上一百万元以下的罚款；泄露、隐匿、伪造、篡改或者毁损有关文件资料的，责令改正，给予警告，并处以二十万元以上二百万元以下的罚款；情节严重的，处以五十万元以上五百万元以下的罚款，并暂停、吊销相关业务许可或者禁止从事相关业务。对直接负责的主管人员和其他直接责任人员给予警告，并处以十万元以上一百万元以下的罚款。</w:t>
      </w:r>
    </w:p>
    <w:p>
      <w:pPr>
        <w:pStyle w:val="4"/>
      </w:pPr>
      <w:r>
        <w:t>第一百四十五条</w:t>
      </w:r>
    </w:p>
    <w:p>
      <w:pPr>
        <w:pStyle w:val="8"/>
      </w:pPr>
      <w:r>
        <w:t>境外期货交易场所和期货经营机构违反本法第一百一十八条和第一百二十条的规定，未向国务院期货监督管理机构申请注册的，责令改正，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pPr>
        <w:pStyle w:val="4"/>
      </w:pPr>
      <w:r>
        <w:t>第一百四十六条</w:t>
      </w:r>
    </w:p>
    <w:p>
      <w:pPr>
        <w:pStyle w:val="8"/>
      </w:pPr>
      <w:r>
        <w:t>境内单位或者个人违反本法第一百二十条第一款规定的，责令改正，给予警告，没收违法所得，并处以十万元以上一百万元以下的罚款；情节严重的，暂停其境外期货交易。对直接负责的主管人员和其他直接责任人员给予警告，并处以五万元以上五十万元以下的罚款。</w:t>
      </w:r>
    </w:p>
    <w:p>
      <w:pPr>
        <w:pStyle w:val="4"/>
      </w:pPr>
      <w:r>
        <w:t>第一百四十七条</w:t>
      </w:r>
    </w:p>
    <w:p>
      <w:pPr>
        <w:pStyle w:val="8"/>
      </w:pPr>
      <w:r>
        <w:t>境外期货交易场所在境内设立的代表机构及其工作人员违反本法第一百二十一条的规定，从事或者变相从事任何经营活动的，责令改正，给予警告，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pPr>
        <w:pStyle w:val="4"/>
      </w:pPr>
      <w:r>
        <w:t>第一百四十八条</w:t>
      </w:r>
    </w:p>
    <w:p>
      <w:pPr>
        <w:pStyle w:val="8"/>
      </w:pPr>
      <w:r>
        <w:t>违反本法第一百二十二条的规定在境内从事市场营销、推介及招揽活动的，责令改正，给予警告，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pPr>
        <w:pStyle w:val="4"/>
      </w:pPr>
      <w:r>
        <w:t>第一百四十九条</w:t>
      </w:r>
    </w:p>
    <w:p>
      <w:pPr>
        <w:pStyle w:val="8"/>
      </w:pPr>
      <w:r>
        <w:t>拒绝、阻碍国务院期货监督管理机构或者国务院授权的部门及其工作人员依法行使监督检查、调查职权的，责令改正，处以十万元以上一百万元以下的罚款，并由公安机关依法给予治安管理处罚。</w:t>
      </w:r>
    </w:p>
    <w:p>
      <w:pPr>
        <w:pStyle w:val="4"/>
      </w:pPr>
      <w:r>
        <w:t>第一百五十条</w:t>
      </w:r>
    </w:p>
    <w:p>
      <w:pPr>
        <w:pStyle w:val="8"/>
      </w:pPr>
      <w:r>
        <w:t>违反法律、行政法规或者国务院期货监督管理机构的有关规定，情节严重的，国务院期货监督管理机构可以对有关责任人员采取期货市场禁入的措施。</w:t>
      </w:r>
    </w:p>
    <w:p>
      <w:pPr>
        <w:pStyle w:val="8"/>
      </w:pPr>
      <w:r>
        <w:t>前款所称期货市场禁入，是指在一定期限内直至终身不得进行期货交易、从事期货业务，不得担任期货经营机构、期货交易场所、期货结算机构的董事、监事、高级管理人员或者负责人的制度。</w:t>
      </w:r>
    </w:p>
    <w:p>
      <w:pPr>
        <w:pStyle w:val="4"/>
      </w:pPr>
      <w:r>
        <w:t>第一百五十一条</w:t>
      </w:r>
    </w:p>
    <w:p>
      <w:pPr>
        <w:pStyle w:val="8"/>
      </w:pPr>
      <w:r>
        <w:t>本法规定的行政处罚，由国务院期货监督管理机构、国务院授权的部门按照国务院规定的职责分工作出决定；法律、行政法规另有规定的，适用其规定。</w:t>
      </w:r>
    </w:p>
    <w:p>
      <w:pPr>
        <w:pStyle w:val="4"/>
      </w:pPr>
      <w:r>
        <w:t>第一百五十二条</w:t>
      </w:r>
    </w:p>
    <w:p>
      <w:pPr>
        <w:pStyle w:val="8"/>
      </w:pPr>
      <w:r>
        <w:t>国务院期货监督管理机构或者国务院授权的部门的工作人员，不履行本法规定的职责，滥用职权、玩忽职守，利用职务便利牟取不正当利益，或者泄露所知悉的有关单位和个人的商业秘密的，依法追究法律责任。</w:t>
      </w:r>
    </w:p>
    <w:p>
      <w:pPr>
        <w:pStyle w:val="4"/>
      </w:pPr>
      <w:r>
        <w:t>第一百五十三条</w:t>
      </w:r>
    </w:p>
    <w:p>
      <w:pPr>
        <w:pStyle w:val="8"/>
      </w:pPr>
      <w:r>
        <w:t>违反本法规定，构成犯罪的，依法追究刑事责任。</w:t>
      </w:r>
    </w:p>
    <w:p>
      <w:pPr>
        <w:pStyle w:val="4"/>
      </w:pPr>
      <w:r>
        <w:t>第一百五十四条</w:t>
      </w:r>
    </w:p>
    <w:p>
      <w:pPr>
        <w:pStyle w:val="8"/>
      </w:pPr>
      <w:r>
        <w:t>违反本法规定，应当承担民事赔偿责任和缴纳罚款、罚金、违法所得，违法行为人的财产不足以支付的，优先用于承担民事赔偿责任。</w:t>
      </w:r>
    </w:p>
    <w:p>
      <w:pPr>
        <w:pStyle w:val="2"/>
      </w:pPr>
      <w:r>
        <w:t>第十三章 附 则</w:t>
      </w:r>
    </w:p>
    <w:p>
      <w:pPr>
        <w:pStyle w:val="4"/>
      </w:pPr>
      <w:r>
        <w:t>第一百五十五条</w:t>
      </w:r>
    </w:p>
    <w:p>
      <w:pPr>
        <w:pStyle w:val="8"/>
      </w:pPr>
      <w:r>
        <w:t>本法自2022年8月1日起施行。</w:t>
      </w:r>
    </w:p>
    <w:p>
      <w:pPr>
        <w:jc w:val="center"/>
      </w:pPr>
      <w:bookmarkStart w:id="0" w:name="_GoBack"/>
      <w:bookmarkEnd w:id="0"/>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A7476"/>
    <w:rsid w:val="00BA7476"/>
    <w:rsid w:val="0DE7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1"/>
    <w:qFormat/>
    <w:uiPriority w:val="9"/>
    <w:pPr>
      <w:spacing w:before="100" w:beforeAutospacing="1" w:after="100" w:afterAutospacing="1"/>
      <w:outlineLvl w:val="0"/>
    </w:pPr>
    <w:rPr>
      <w:b/>
      <w:bCs/>
      <w:kern w:val="36"/>
      <w:sz w:val="32"/>
      <w:szCs w:val="32"/>
    </w:rPr>
  </w:style>
  <w:style w:type="paragraph" w:styleId="3">
    <w:name w:val="heading 2"/>
    <w:basedOn w:val="1"/>
    <w:next w:val="1"/>
    <w:link w:val="12"/>
    <w:qFormat/>
    <w:uiPriority w:val="9"/>
    <w:pPr>
      <w:spacing w:before="100" w:beforeAutospacing="1" w:after="100" w:afterAutospacing="1"/>
      <w:outlineLvl w:val="1"/>
    </w:pPr>
    <w:rPr>
      <w:b/>
      <w:bCs/>
      <w:sz w:val="30"/>
      <w:szCs w:val="30"/>
    </w:rPr>
  </w:style>
  <w:style w:type="paragraph" w:styleId="4">
    <w:name w:val="heading 3"/>
    <w:basedOn w:val="1"/>
    <w:next w:val="1"/>
    <w:link w:val="13"/>
    <w:qFormat/>
    <w:uiPriority w:val="9"/>
    <w:pPr>
      <w:spacing w:before="100" w:beforeAutospacing="1" w:after="100" w:afterAutospacing="1"/>
      <w:outlineLvl w:val="2"/>
    </w:pPr>
    <w:rPr>
      <w:b/>
      <w:bCs/>
      <w:sz w:val="28"/>
      <w:szCs w:val="28"/>
    </w:rPr>
  </w:style>
  <w:style w:type="paragraph" w:styleId="5">
    <w:name w:val="heading 4"/>
    <w:basedOn w:val="1"/>
    <w:next w:val="1"/>
    <w:link w:val="14"/>
    <w:qFormat/>
    <w:uiPriority w:val="9"/>
    <w:pPr>
      <w:spacing w:before="100" w:beforeAutospacing="1" w:after="100" w:afterAutospacing="1"/>
      <w:jc w:val="center"/>
      <w:outlineLvl w:val="3"/>
    </w:pPr>
    <w:rPr>
      <w:b/>
      <w:bCs/>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footer"/>
    <w:basedOn w:val="1"/>
    <w:link w:val="17"/>
    <w:unhideWhenUsed/>
    <w:uiPriority w:val="99"/>
    <w:pPr>
      <w:tabs>
        <w:tab w:val="center" w:pos="4153"/>
        <w:tab w:val="right" w:pos="8306"/>
      </w:tabs>
      <w:snapToGrid w:val="0"/>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spacing w:before="100" w:beforeAutospacing="1" w:after="100" w:afterAutospacing="1" w:line="360" w:lineRule="auto"/>
      <w:ind w:firstLine="480"/>
    </w:pPr>
  </w:style>
  <w:style w:type="character" w:customStyle="1" w:styleId="11">
    <w:name w:val="标题 1 字符"/>
    <w:basedOn w:val="10"/>
    <w:link w:val="2"/>
    <w:uiPriority w:val="9"/>
    <w:rPr>
      <w:rFonts w:ascii="宋体" w:hAnsi="宋体" w:eastAsia="宋体" w:cs="宋体"/>
      <w:b/>
      <w:bCs/>
      <w:kern w:val="44"/>
      <w:sz w:val="44"/>
      <w:szCs w:val="44"/>
    </w:rPr>
  </w:style>
  <w:style w:type="character" w:customStyle="1" w:styleId="12">
    <w:name w:val="标题 2 字符"/>
    <w:basedOn w:val="10"/>
    <w:link w:val="3"/>
    <w:semiHidden/>
    <w:uiPriority w:val="9"/>
    <w:rPr>
      <w:rFonts w:asciiTheme="majorHAnsi" w:hAnsiTheme="majorHAnsi" w:eastAsiaTheme="majorEastAsia" w:cstheme="majorBidi"/>
      <w:b/>
      <w:bCs/>
      <w:sz w:val="32"/>
      <w:szCs w:val="32"/>
    </w:rPr>
  </w:style>
  <w:style w:type="character" w:customStyle="1" w:styleId="13">
    <w:name w:val="标题 3 字符"/>
    <w:basedOn w:val="10"/>
    <w:link w:val="4"/>
    <w:semiHidden/>
    <w:uiPriority w:val="9"/>
    <w:rPr>
      <w:rFonts w:ascii="宋体" w:hAnsi="宋体" w:eastAsia="宋体" w:cs="宋体"/>
      <w:b/>
      <w:bCs/>
      <w:sz w:val="32"/>
      <w:szCs w:val="32"/>
    </w:rPr>
  </w:style>
  <w:style w:type="character" w:customStyle="1" w:styleId="14">
    <w:name w:val="标题 4 字符"/>
    <w:basedOn w:val="10"/>
    <w:link w:val="5"/>
    <w:semiHidden/>
    <w:uiPriority w:val="9"/>
    <w:rPr>
      <w:rFonts w:asciiTheme="majorHAnsi" w:hAnsiTheme="majorHAnsi" w:eastAsiaTheme="majorEastAsia" w:cstheme="majorBidi"/>
      <w:b/>
      <w:bCs/>
      <w:sz w:val="28"/>
      <w:szCs w:val="28"/>
    </w:rPr>
  </w:style>
  <w:style w:type="paragraph" w:customStyle="1" w:styleId="15">
    <w:name w:val="msonormal"/>
    <w:basedOn w:val="1"/>
    <w:uiPriority w:val="0"/>
    <w:pPr>
      <w:spacing w:before="100" w:beforeAutospacing="1" w:after="100" w:afterAutospacing="1" w:line="360" w:lineRule="auto"/>
      <w:ind w:firstLine="480"/>
    </w:pPr>
  </w:style>
  <w:style w:type="character" w:customStyle="1" w:styleId="16">
    <w:name w:val="页眉 字符"/>
    <w:basedOn w:val="10"/>
    <w:link w:val="7"/>
    <w:uiPriority w:val="99"/>
    <w:rPr>
      <w:rFonts w:ascii="宋体" w:hAnsi="宋体" w:eastAsia="宋体" w:cs="宋体"/>
      <w:sz w:val="18"/>
      <w:szCs w:val="18"/>
    </w:rPr>
  </w:style>
  <w:style w:type="character" w:customStyle="1" w:styleId="17">
    <w:name w:val="页脚 字符"/>
    <w:basedOn w:val="10"/>
    <w:link w:val="6"/>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3449</Words>
  <Characters>19661</Characters>
  <Lines>163</Lines>
  <Paragraphs>46</Paragraphs>
  <TotalTime>0</TotalTime>
  <ScaleCrop>false</ScaleCrop>
  <LinksUpToDate>false</LinksUpToDate>
  <CharactersWithSpaces>23064</CharactersWithSpaces>
  <Application>WPS Office_11.1.0.11405_F1E327BC-269C-435d-A152-05C5408002CA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2022-07-01T06:16:00Z</dcterms:created>
  <dc:creator>Administrator</dc:creator>
  <cp:lastModifiedBy>pc</cp:lastModifiedBy>
  <dcterms:modified xsi:type="dcterms:W3CDTF">2022-07-01T06:19:55Z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9D593199807A46F5B2A0FE40BB6CC09D</vt:lpwstr>
  </property>
</Properties>
</file>