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26058" w14:textId="77777777" w:rsidR="00157D85" w:rsidRDefault="00157D85">
      <w:pPr>
        <w:jc w:val="center"/>
        <w:rPr>
          <w:rFonts w:ascii="仿宋_GB2312" w:eastAsia="仿宋_GB2312" w:hAnsi="仿宋_GB2312" w:cs="仿宋_GB2312"/>
          <w:color w:val="FF2501"/>
          <w:spacing w:val="-20"/>
          <w:sz w:val="32"/>
          <w:szCs w:val="32"/>
        </w:rPr>
      </w:pPr>
    </w:p>
    <w:p w14:paraId="1FC6CC4A" w14:textId="77777777" w:rsidR="00157D85" w:rsidRDefault="00724D45">
      <w:pPr>
        <w:jc w:val="center"/>
        <w:rPr>
          <w:rFonts w:ascii="仿宋_GB2312" w:eastAsia="仿宋_GB2312" w:hAnsi="仿宋_GB2312" w:cs="仿宋_GB2312"/>
          <w:b/>
          <w:sz w:val="32"/>
          <w:szCs w:val="32"/>
        </w:rPr>
      </w:pPr>
      <w:r>
        <w:rPr>
          <w:rFonts w:ascii="仿宋_GB2312" w:eastAsia="仿宋_GB2312" w:hAnsi="仿宋_GB2312" w:cs="仿宋_GB2312" w:hint="eastAsia"/>
          <w:color w:val="FF2501"/>
          <w:spacing w:val="-20"/>
          <w:sz w:val="32"/>
          <w:szCs w:val="32"/>
        </w:rPr>
        <w:t xml:space="preserve">  </w:t>
      </w:r>
    </w:p>
    <w:p w14:paraId="2897EED4" w14:textId="77777777" w:rsidR="00157D85" w:rsidRDefault="00724D45">
      <w:pPr>
        <w:jc w:val="center"/>
        <w:rPr>
          <w:rFonts w:ascii="仿宋_GB2312" w:eastAsia="仿宋_GB2312" w:hAnsi="仿宋_GB2312" w:cs="仿宋_GB2312"/>
          <w:sz w:val="32"/>
          <w:szCs w:val="32"/>
        </w:rPr>
      </w:pPr>
      <w:r>
        <w:rPr>
          <w:rFonts w:asciiTheme="majorEastAsia" w:eastAsiaTheme="majorEastAsia" w:hAnsiTheme="majorEastAsia" w:cstheme="majorEastAsia" w:hint="eastAsia"/>
          <w:sz w:val="44"/>
          <w:szCs w:val="44"/>
        </w:rPr>
        <w:t>证券市场禁入规定</w:t>
      </w:r>
    </w:p>
    <w:p w14:paraId="67B1FA7A" w14:textId="77777777" w:rsidR="00157D85" w:rsidRDefault="00724D45">
      <w:pPr>
        <w:ind w:firstLineChars="200" w:firstLine="640"/>
        <w:jc w:val="left"/>
        <w:textAlignment w:val="baseline"/>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2006</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6</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7</w:t>
      </w:r>
      <w:r>
        <w:rPr>
          <w:rFonts w:ascii="楷体_GB2312" w:eastAsia="楷体_GB2312" w:hAnsi="楷体_GB2312" w:cs="楷体_GB2312" w:hint="eastAsia"/>
          <w:sz w:val="32"/>
          <w:szCs w:val="32"/>
        </w:rPr>
        <w:t>日证监会令第</w:t>
      </w:r>
      <w:r>
        <w:rPr>
          <w:rFonts w:ascii="楷体_GB2312" w:eastAsia="楷体_GB2312" w:hAnsi="楷体_GB2312" w:cs="楷体_GB2312" w:hint="eastAsia"/>
          <w:sz w:val="32"/>
          <w:szCs w:val="32"/>
        </w:rPr>
        <w:t>33</w:t>
      </w:r>
      <w:r>
        <w:rPr>
          <w:rFonts w:ascii="楷体_GB2312" w:eastAsia="楷体_GB2312" w:hAnsi="楷体_GB2312" w:cs="楷体_GB2312" w:hint="eastAsia"/>
          <w:sz w:val="32"/>
          <w:szCs w:val="32"/>
        </w:rPr>
        <w:t>号公布</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根据</w:t>
      </w:r>
      <w:r>
        <w:rPr>
          <w:rFonts w:ascii="楷体_GB2312" w:eastAsia="楷体_GB2312" w:hAnsi="楷体_GB2312" w:cs="楷体_GB2312" w:hint="eastAsia"/>
          <w:sz w:val="32"/>
          <w:szCs w:val="32"/>
        </w:rPr>
        <w:t>2015</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5</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18</w:t>
      </w:r>
      <w:r>
        <w:rPr>
          <w:rFonts w:ascii="楷体_GB2312" w:eastAsia="楷体_GB2312" w:hAnsi="楷体_GB2312" w:cs="楷体_GB2312" w:hint="eastAsia"/>
          <w:sz w:val="32"/>
          <w:szCs w:val="32"/>
        </w:rPr>
        <w:t>日证监会令第</w:t>
      </w:r>
      <w:r>
        <w:rPr>
          <w:rFonts w:ascii="楷体_GB2312" w:eastAsia="楷体_GB2312" w:hAnsi="楷体_GB2312" w:cs="楷体_GB2312" w:hint="eastAsia"/>
          <w:sz w:val="32"/>
          <w:szCs w:val="32"/>
        </w:rPr>
        <w:t>115</w:t>
      </w:r>
      <w:r>
        <w:rPr>
          <w:rFonts w:ascii="楷体_GB2312" w:eastAsia="楷体_GB2312" w:hAnsi="楷体_GB2312" w:cs="楷体_GB2312" w:hint="eastAsia"/>
          <w:sz w:val="32"/>
          <w:szCs w:val="32"/>
        </w:rPr>
        <w:t>号《关于修改〈证券市场禁入规定〉的决定》第一次修订</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2021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6</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15</w:t>
      </w:r>
      <w:r>
        <w:rPr>
          <w:rFonts w:ascii="楷体_GB2312" w:eastAsia="楷体_GB2312" w:hAnsi="楷体_GB2312" w:cs="楷体_GB2312" w:hint="eastAsia"/>
          <w:sz w:val="32"/>
          <w:szCs w:val="32"/>
        </w:rPr>
        <w:t>日证监会令第</w:t>
      </w:r>
      <w:r>
        <w:rPr>
          <w:rFonts w:ascii="楷体_GB2312" w:eastAsia="楷体_GB2312" w:hAnsi="楷体_GB2312" w:cs="楷体_GB2312" w:hint="eastAsia"/>
          <w:sz w:val="32"/>
          <w:szCs w:val="32"/>
        </w:rPr>
        <w:t>185</w:t>
      </w:r>
      <w:r>
        <w:rPr>
          <w:rFonts w:ascii="楷体_GB2312" w:eastAsia="楷体_GB2312" w:hAnsi="楷体_GB2312" w:cs="楷体_GB2312" w:hint="eastAsia"/>
          <w:sz w:val="32"/>
          <w:szCs w:val="32"/>
        </w:rPr>
        <w:t>号第二次修订）</w:t>
      </w:r>
    </w:p>
    <w:p w14:paraId="31E314C1" w14:textId="77777777" w:rsidR="00157D85" w:rsidRDefault="00157D85">
      <w:pPr>
        <w:jc w:val="left"/>
        <w:textAlignment w:val="baseline"/>
        <w:rPr>
          <w:rFonts w:ascii="仿宋_GB2312" w:eastAsia="仿宋_GB2312" w:hAnsi="仿宋_GB2312" w:cs="仿宋_GB2312"/>
          <w:sz w:val="32"/>
          <w:szCs w:val="32"/>
        </w:rPr>
      </w:pPr>
    </w:p>
    <w:p w14:paraId="6FA0024F" w14:textId="77777777" w:rsidR="00157D85" w:rsidRDefault="00724D45">
      <w:pPr>
        <w:widowControl/>
        <w:tabs>
          <w:tab w:val="left" w:pos="1440"/>
          <w:tab w:val="left" w:pos="1800"/>
        </w:tabs>
        <w:ind w:firstLineChars="213" w:firstLine="682"/>
        <w:rPr>
          <w:rFonts w:ascii="仿宋_GB2312" w:eastAsia="仿宋_GB2312" w:hAnsi="仿宋_GB2312" w:cs="仿宋_GB2312"/>
          <w:sz w:val="32"/>
          <w:szCs w:val="32"/>
        </w:rPr>
      </w:pPr>
      <w:r>
        <w:rPr>
          <w:rStyle w:val="10"/>
          <w:rFonts w:ascii="黑体" w:hAnsi="黑体" w:cs="黑体" w:hint="eastAsia"/>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为了维护证券市场秩序，保护投资者合法权益和社会公众利益，促进证券市场健康稳定发展，根据《中华人民共和</w:t>
      </w:r>
      <w:proofErr w:type="gramStart"/>
      <w:r>
        <w:rPr>
          <w:rFonts w:ascii="仿宋_GB2312" w:eastAsia="仿宋_GB2312" w:hAnsi="仿宋_GB2312" w:cs="仿宋_GB2312" w:hint="eastAsia"/>
          <w:sz w:val="32"/>
          <w:szCs w:val="32"/>
        </w:rPr>
        <w:t>国证券</w:t>
      </w:r>
      <w:proofErr w:type="gramEnd"/>
      <w:r>
        <w:rPr>
          <w:rFonts w:ascii="仿宋_GB2312" w:eastAsia="仿宋_GB2312" w:hAnsi="仿宋_GB2312" w:cs="仿宋_GB2312" w:hint="eastAsia"/>
          <w:sz w:val="32"/>
          <w:szCs w:val="32"/>
        </w:rPr>
        <w:t>法</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《中华人民共和国证券投资基金法》《中华人民共和国行政处罚法》等法律、行政法规，制定本规定。</w:t>
      </w:r>
    </w:p>
    <w:p w14:paraId="68857480"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Style w:val="10"/>
          <w:rFonts w:ascii="黑体" w:hAnsi="黑体" w:cs="黑体" w:hint="eastAsia"/>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券监督管理委员会（以下简称中国证监会）及其派出机构（以下统称执法单位）对违反法律、行政法规或者中国证监会有关规定的有关责任人员采取证券市场禁入措施，以事实为依据，遵循公开、公平、公正的原则。</w:t>
      </w:r>
    </w:p>
    <w:p w14:paraId="62D3509A" w14:textId="77777777" w:rsidR="00157D85" w:rsidRDefault="00724D45">
      <w:pPr>
        <w:widowControl/>
        <w:tabs>
          <w:tab w:val="left" w:pos="1440"/>
          <w:tab w:val="left" w:pos="1800"/>
        </w:tabs>
        <w:ind w:firstLineChars="213" w:firstLine="682"/>
        <w:rPr>
          <w:rFonts w:ascii="仿宋_GB2312" w:eastAsia="仿宋_GB2312" w:hAnsi="仿宋_GB2312" w:cs="仿宋_GB2312"/>
          <w:sz w:val="32"/>
          <w:szCs w:val="32"/>
        </w:rPr>
      </w:pPr>
      <w:r>
        <w:rPr>
          <w:rStyle w:val="10"/>
          <w:rFonts w:ascii="黑体" w:hAnsi="黑体" w:cs="黑体" w:hint="eastAsia"/>
          <w:szCs w:val="32"/>
        </w:rPr>
        <w:t>第</w:t>
      </w:r>
      <w:r>
        <w:rPr>
          <w:rStyle w:val="10"/>
          <w:rFonts w:ascii="黑体" w:hAnsi="黑体" w:cs="黑体" w:hint="eastAsia"/>
          <w:szCs w:val="32"/>
        </w:rPr>
        <w:t>三</w:t>
      </w:r>
      <w:r>
        <w:rPr>
          <w:rStyle w:val="10"/>
          <w:rFonts w:ascii="黑体" w:hAnsi="黑体" w:cs="黑体" w:hint="eastAsia"/>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下列人员违反法律、行政法规或者中国证监会有关规定，情节严重的，执法单位可以根据情节严重的程度，采取证券市场禁入措施：</w:t>
      </w:r>
    </w:p>
    <w:p w14:paraId="5FC818AF" w14:textId="77777777" w:rsidR="00157D85" w:rsidRDefault="00724D45">
      <w:pPr>
        <w:widowControl/>
        <w:tabs>
          <w:tab w:val="left" w:pos="1440"/>
          <w:tab w:val="left" w:pos="1800"/>
        </w:tabs>
        <w:ind w:firstLineChars="213" w:firstLine="682"/>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证券发行人的董事、监事、高级管理人员，其他信息披露义务人或者其他信息披露义务人的董事、监事、高级管理人员，证券发行人、其他信息披露义务人持股百分之五以上的股东、实际控制人，证券发行人、其他信息披露义务人持股百分之五以上的股东、实际控制人的董事、监事、高级管理人员，或者执法单位认定的其他对欺诈发行或信息披露违法行为直接负责的主管人员或其他直接责任人员；</w:t>
      </w:r>
    </w:p>
    <w:p w14:paraId="1A67CB44" w14:textId="77777777" w:rsidR="00157D85" w:rsidRDefault="00724D45">
      <w:pPr>
        <w:widowControl/>
        <w:tabs>
          <w:tab w:val="left" w:pos="1440"/>
          <w:tab w:val="left" w:pos="1800"/>
        </w:tabs>
        <w:ind w:firstLineChars="213" w:firstLine="682"/>
        <w:rPr>
          <w:rFonts w:ascii="仿宋_GB2312" w:eastAsia="仿宋_GB2312" w:hAnsi="仿宋_GB2312" w:cs="仿宋_GB2312"/>
          <w:sz w:val="32"/>
          <w:szCs w:val="32"/>
        </w:rPr>
      </w:pPr>
      <w:r>
        <w:rPr>
          <w:rFonts w:ascii="仿宋_GB2312" w:eastAsia="仿宋_GB2312" w:hAnsi="仿宋_GB2312" w:cs="仿宋_GB2312" w:hint="eastAsia"/>
          <w:sz w:val="32"/>
          <w:szCs w:val="32"/>
        </w:rPr>
        <w:t>（二）证券公司及其依法设立的子公司</w:t>
      </w:r>
      <w:r>
        <w:rPr>
          <w:rFonts w:ascii="仿宋_GB2312" w:eastAsia="仿宋_GB2312" w:hAnsi="仿宋_GB2312" w:cs="仿宋_GB2312" w:hint="eastAsia"/>
          <w:sz w:val="32"/>
          <w:szCs w:val="32"/>
        </w:rPr>
        <w:t>的董事、监事、高级管理人员及工作人员，证券公司的股东、实际控制人或者股东、实际控制人的董事、监事、高级管理人员；</w:t>
      </w:r>
    </w:p>
    <w:p w14:paraId="1AEDB371" w14:textId="77777777" w:rsidR="00157D85" w:rsidRDefault="00724D45">
      <w:pPr>
        <w:widowControl/>
        <w:tabs>
          <w:tab w:val="left" w:pos="1440"/>
          <w:tab w:val="left" w:pos="1800"/>
        </w:tabs>
        <w:ind w:firstLineChars="213" w:firstLine="682"/>
        <w:rPr>
          <w:rFonts w:ascii="仿宋_GB2312" w:eastAsia="仿宋_GB2312" w:hAnsi="仿宋_GB2312" w:cs="仿宋_GB2312"/>
          <w:sz w:val="32"/>
          <w:szCs w:val="32"/>
        </w:rPr>
      </w:pPr>
      <w:r>
        <w:rPr>
          <w:rFonts w:ascii="仿宋_GB2312" w:eastAsia="仿宋_GB2312" w:hAnsi="仿宋_GB2312" w:cs="仿宋_GB2312" w:hint="eastAsia"/>
          <w:sz w:val="32"/>
          <w:szCs w:val="32"/>
        </w:rPr>
        <w:t>（三）证券服务机构、债券受托管理人的董事、监事、高级管理人员、合伙人、负责人及工作人员，证券服务机构、债券受托管理人的股东、实际控制人或者股东、实际控制人的董事、监事、高级管理人员；</w:t>
      </w:r>
    </w:p>
    <w:p w14:paraId="2C09B152" w14:textId="77777777" w:rsidR="00157D85" w:rsidRDefault="00724D45">
      <w:pPr>
        <w:widowControl/>
        <w:tabs>
          <w:tab w:val="left" w:pos="1440"/>
          <w:tab w:val="left" w:pos="1800"/>
        </w:tabs>
        <w:ind w:firstLineChars="213" w:firstLine="682"/>
        <w:rPr>
          <w:rFonts w:ascii="仿宋_GB2312" w:eastAsia="仿宋_GB2312" w:hAnsi="仿宋_GB2312" w:cs="仿宋_GB2312"/>
          <w:sz w:val="32"/>
          <w:szCs w:val="32"/>
        </w:rPr>
      </w:pPr>
      <w:r>
        <w:rPr>
          <w:rFonts w:ascii="仿宋_GB2312" w:eastAsia="仿宋_GB2312" w:hAnsi="仿宋_GB2312" w:cs="仿宋_GB2312" w:hint="eastAsia"/>
          <w:sz w:val="32"/>
          <w:szCs w:val="32"/>
        </w:rPr>
        <w:t>（四）公开募集证券投资基金（以下简称基金）管理公司及其依法设立的子公司、其他公</w:t>
      </w:r>
      <w:proofErr w:type="gramStart"/>
      <w:r>
        <w:rPr>
          <w:rFonts w:ascii="仿宋_GB2312" w:eastAsia="仿宋_GB2312" w:hAnsi="仿宋_GB2312" w:cs="仿宋_GB2312" w:hint="eastAsia"/>
          <w:sz w:val="32"/>
          <w:szCs w:val="32"/>
        </w:rPr>
        <w:t>募基金</w:t>
      </w:r>
      <w:proofErr w:type="gramEnd"/>
      <w:r>
        <w:rPr>
          <w:rFonts w:ascii="仿宋_GB2312" w:eastAsia="仿宋_GB2312" w:hAnsi="仿宋_GB2312" w:cs="仿宋_GB2312" w:hint="eastAsia"/>
          <w:sz w:val="32"/>
          <w:szCs w:val="32"/>
        </w:rPr>
        <w:t>管理人、基金托管人及其设立的基金托管部门、基金服务机构的董事、监事、高级管理人员及工作人员，基金管理公司、其他公</w:t>
      </w:r>
      <w:proofErr w:type="gramStart"/>
      <w:r>
        <w:rPr>
          <w:rFonts w:ascii="仿宋_GB2312" w:eastAsia="仿宋_GB2312" w:hAnsi="仿宋_GB2312" w:cs="仿宋_GB2312" w:hint="eastAsia"/>
          <w:sz w:val="32"/>
          <w:szCs w:val="32"/>
        </w:rPr>
        <w:t>募基金</w:t>
      </w:r>
      <w:proofErr w:type="gramEnd"/>
      <w:r>
        <w:rPr>
          <w:rFonts w:ascii="仿宋_GB2312" w:eastAsia="仿宋_GB2312" w:hAnsi="仿宋_GB2312" w:cs="仿宋_GB2312" w:hint="eastAsia"/>
          <w:sz w:val="32"/>
          <w:szCs w:val="32"/>
        </w:rPr>
        <w:t>管理人和基金</w:t>
      </w:r>
      <w:r>
        <w:rPr>
          <w:rFonts w:ascii="仿宋_GB2312" w:eastAsia="仿宋_GB2312" w:hAnsi="仿宋_GB2312" w:cs="仿宋_GB2312" w:hint="eastAsia"/>
          <w:sz w:val="32"/>
          <w:szCs w:val="32"/>
        </w:rPr>
        <w:t>服务机</w:t>
      </w:r>
      <w:r>
        <w:rPr>
          <w:rFonts w:ascii="仿宋_GB2312" w:eastAsia="仿宋_GB2312" w:hAnsi="仿宋_GB2312" w:cs="仿宋_GB2312" w:hint="eastAsia"/>
          <w:sz w:val="32"/>
          <w:szCs w:val="32"/>
        </w:rPr>
        <w:lastRenderedPageBreak/>
        <w:t>构的股东、实际控制人或者股东、实际控制人的董事、监事、高级管理人员；</w:t>
      </w:r>
    </w:p>
    <w:p w14:paraId="0AE46445" w14:textId="77777777" w:rsidR="00157D85" w:rsidRDefault="00724D45">
      <w:pPr>
        <w:widowControl/>
        <w:tabs>
          <w:tab w:val="left" w:pos="1440"/>
          <w:tab w:val="left" w:pos="1800"/>
        </w:tabs>
        <w:ind w:firstLineChars="213" w:firstLine="682"/>
        <w:rPr>
          <w:rFonts w:ascii="仿宋_GB2312" w:eastAsia="仿宋_GB2312" w:hAnsi="仿宋_GB2312" w:cs="仿宋_GB2312"/>
          <w:sz w:val="32"/>
          <w:szCs w:val="32"/>
        </w:rPr>
      </w:pPr>
      <w:r>
        <w:rPr>
          <w:rFonts w:ascii="仿宋_GB2312" w:eastAsia="仿宋_GB2312" w:hAnsi="仿宋_GB2312" w:cs="仿宋_GB2312" w:hint="eastAsia"/>
          <w:sz w:val="32"/>
          <w:szCs w:val="32"/>
        </w:rPr>
        <w:t>（五）私募投资基金管理人、私募投资基金托管人、私募投资基金销售机构及其他私募服务机构的董事、监事、高级管理人员、工作人员，私募投资基金管理人的股东、实际控制人、合伙人、负责人；</w:t>
      </w:r>
    </w:p>
    <w:p w14:paraId="76E7577F" w14:textId="77777777" w:rsidR="00157D85" w:rsidRDefault="00724D45">
      <w:pPr>
        <w:widowControl/>
        <w:tabs>
          <w:tab w:val="left" w:pos="1440"/>
          <w:tab w:val="left" w:pos="1800"/>
        </w:tabs>
        <w:ind w:firstLineChars="213" w:firstLine="682"/>
        <w:rPr>
          <w:rFonts w:ascii="仿宋_GB2312" w:eastAsia="仿宋_GB2312" w:hAnsi="仿宋_GB2312" w:cs="仿宋_GB2312"/>
          <w:sz w:val="32"/>
          <w:szCs w:val="32"/>
        </w:rPr>
      </w:pPr>
      <w:r>
        <w:rPr>
          <w:rFonts w:ascii="仿宋_GB2312" w:eastAsia="仿宋_GB2312" w:hAnsi="仿宋_GB2312" w:cs="仿宋_GB2312" w:hint="eastAsia"/>
          <w:sz w:val="32"/>
          <w:szCs w:val="32"/>
        </w:rPr>
        <w:t>（六）直接或者间接在证券交易所、国务院批准的其他全国性证券交易场所（以下统称证券交易场所）进行投资的自然人或者机构投资者的交易决策人；</w:t>
      </w:r>
    </w:p>
    <w:p w14:paraId="24149854" w14:textId="77777777" w:rsidR="00157D85" w:rsidRDefault="00724D45">
      <w:pPr>
        <w:widowControl/>
        <w:tabs>
          <w:tab w:val="left" w:pos="1440"/>
          <w:tab w:val="left" w:pos="1800"/>
        </w:tabs>
        <w:ind w:firstLineChars="213" w:firstLine="682"/>
        <w:rPr>
          <w:rFonts w:ascii="仿宋_GB2312" w:eastAsia="仿宋_GB2312" w:hAnsi="仿宋_GB2312" w:cs="仿宋_GB2312"/>
          <w:sz w:val="32"/>
          <w:szCs w:val="32"/>
        </w:rPr>
      </w:pPr>
      <w:r>
        <w:rPr>
          <w:rFonts w:ascii="仿宋_GB2312" w:eastAsia="仿宋_GB2312" w:hAnsi="仿宋_GB2312" w:cs="仿宋_GB2312" w:hint="eastAsia"/>
          <w:sz w:val="32"/>
          <w:szCs w:val="32"/>
        </w:rPr>
        <w:t>（七）编造、传播虚假信息或者误导性信息的有关责任人员；</w:t>
      </w:r>
    </w:p>
    <w:p w14:paraId="4524854A" w14:textId="77777777" w:rsidR="00157D85" w:rsidRDefault="00724D45">
      <w:pPr>
        <w:widowControl/>
        <w:tabs>
          <w:tab w:val="left" w:pos="1440"/>
          <w:tab w:val="left" w:pos="1800"/>
        </w:tabs>
        <w:ind w:firstLineChars="213" w:firstLine="682"/>
        <w:rPr>
          <w:rFonts w:ascii="仿宋_GB2312" w:eastAsia="仿宋_GB2312" w:hAnsi="仿宋_GB2312" w:cs="仿宋_GB2312"/>
          <w:sz w:val="32"/>
          <w:szCs w:val="32"/>
        </w:rPr>
      </w:pPr>
      <w:r>
        <w:rPr>
          <w:rFonts w:ascii="仿宋_GB2312" w:eastAsia="仿宋_GB2312" w:hAnsi="仿宋_GB2312" w:cs="仿宋_GB2312" w:hint="eastAsia"/>
          <w:sz w:val="32"/>
          <w:szCs w:val="32"/>
        </w:rPr>
        <w:t>（八）执法单位及相关自律组织的工作人员；</w:t>
      </w:r>
    </w:p>
    <w:p w14:paraId="251A3942" w14:textId="77777777" w:rsidR="00157D85" w:rsidRDefault="00724D45">
      <w:pPr>
        <w:widowControl/>
        <w:tabs>
          <w:tab w:val="left" w:pos="1440"/>
          <w:tab w:val="left" w:pos="1800"/>
        </w:tabs>
        <w:ind w:firstLineChars="213" w:firstLine="682"/>
        <w:rPr>
          <w:rFonts w:ascii="仿宋_GB2312" w:eastAsia="仿宋_GB2312" w:hAnsi="仿宋_GB2312" w:cs="仿宋_GB2312"/>
          <w:sz w:val="32"/>
          <w:szCs w:val="32"/>
        </w:rPr>
      </w:pPr>
      <w:r>
        <w:rPr>
          <w:rFonts w:ascii="仿宋_GB2312" w:eastAsia="仿宋_GB2312" w:hAnsi="仿宋_GB2312" w:cs="仿宋_GB2312" w:hint="eastAsia"/>
          <w:sz w:val="32"/>
          <w:szCs w:val="32"/>
        </w:rPr>
        <w:t>（九）执法单位认定的其他</w:t>
      </w:r>
      <w:r>
        <w:rPr>
          <w:rFonts w:ascii="仿宋_GB2312" w:eastAsia="仿宋_GB2312" w:hAnsi="仿宋_GB2312" w:cs="仿宋_GB2312" w:hint="eastAsia"/>
          <w:sz w:val="32"/>
          <w:szCs w:val="32"/>
        </w:rPr>
        <w:t>违反法律、行政法规或者中国证监会有关规定的有关责任人员。</w:t>
      </w:r>
    </w:p>
    <w:p w14:paraId="7A13567D"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Style w:val="10"/>
          <w:rFonts w:ascii="黑体" w:hAnsi="黑体" w:cs="黑体" w:hint="eastAsia"/>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执法单位可以采取的市场禁入种类包括：</w:t>
      </w:r>
    </w:p>
    <w:p w14:paraId="52E9FE7B"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（一）不得从事证券业务、证券服务业务，不得担任证券发行人的董事、监事、高级管理人员；</w:t>
      </w:r>
    </w:p>
    <w:p w14:paraId="75D4A54C"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（二）不得在证券交易场所交易证券。</w:t>
      </w:r>
    </w:p>
    <w:p w14:paraId="79D65509"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执法单位可以根据有关责任人员的身份职责、违法行为类型、违法行为的社会危害性和违法情节严重的程度，单独或者合并适用前款规定的不同种类市场禁入措施。</w:t>
      </w:r>
    </w:p>
    <w:p w14:paraId="2E8920FF"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Style w:val="10"/>
          <w:rFonts w:ascii="黑体" w:hAnsi="黑体" w:cs="黑体" w:hint="eastAsia"/>
          <w:szCs w:val="32"/>
        </w:rPr>
        <w:t>第五条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被采取本规定第四条第一款第一项证券市场禁入措施的人员，在禁入期间内，除不得继续在原机构从事证券业务、证券服务业务或者担任原证券发</w:t>
      </w:r>
      <w:r>
        <w:rPr>
          <w:rFonts w:ascii="仿宋_GB2312" w:eastAsia="仿宋_GB2312" w:hAnsi="仿宋_GB2312" w:cs="仿宋_GB2312" w:hint="eastAsia"/>
          <w:sz w:val="32"/>
          <w:szCs w:val="32"/>
        </w:rPr>
        <w:t>行人的董事、监事、高级管理人员职务外，也不得在其他任何机构中从事证券业务、证券服务业务或者担任其他证券发行人的董事、监事、高级管理人员职务。</w:t>
      </w:r>
    </w:p>
    <w:p w14:paraId="5DC3B1AC"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被采取本规定第四条第一款第一项证券市场禁入措施的人员，应当在收到证券市场禁入决定后立即停止从事证券业务、证券服务业务或者停止履行证券发行人董事、监事、高级管理人员职务，并由其所在机构按规定的程序解除其被禁止担任的职务。</w:t>
      </w:r>
    </w:p>
    <w:p w14:paraId="378407EC"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Style w:val="10"/>
          <w:rFonts w:ascii="黑体" w:hAnsi="黑体" w:cs="黑体" w:hint="eastAsia"/>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被采取本规定第四条第一款第二项证券市场禁入措施的人员，在禁入期间内，不得直接或者以化名、借他人名义在证券交易场所交易上市或者挂牌的所有证券。但在禁入期间存在以下情形的除外：</w:t>
      </w:r>
    </w:p>
    <w:p w14:paraId="5F30CCE9"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（一）有关责任人员</w:t>
      </w:r>
      <w:proofErr w:type="gramStart"/>
      <w:r>
        <w:rPr>
          <w:rFonts w:ascii="仿宋_GB2312" w:eastAsia="仿宋_GB2312" w:hAnsi="仿宋_GB2312" w:cs="仿宋_GB2312" w:hint="eastAsia"/>
          <w:sz w:val="32"/>
          <w:szCs w:val="32"/>
        </w:rPr>
        <w:t>被依据</w:t>
      </w:r>
      <w:proofErr w:type="gramEnd"/>
      <w:r>
        <w:rPr>
          <w:rFonts w:ascii="仿宋_GB2312" w:eastAsia="仿宋_GB2312" w:hAnsi="仿宋_GB2312" w:cs="仿宋_GB2312" w:hint="eastAsia"/>
          <w:sz w:val="32"/>
          <w:szCs w:val="32"/>
        </w:rPr>
        <w:t>《中华人民共和国证券法》和中国证监会有关规定责令</w:t>
      </w:r>
      <w:r>
        <w:rPr>
          <w:rFonts w:ascii="仿宋_GB2312" w:eastAsia="仿宋_GB2312" w:hAnsi="仿宋_GB2312" w:cs="仿宋_GB2312" w:hint="eastAsia"/>
          <w:sz w:val="32"/>
          <w:szCs w:val="32"/>
        </w:rPr>
        <w:t>回购</w:t>
      </w:r>
      <w:r>
        <w:rPr>
          <w:rFonts w:ascii="仿宋_GB2312" w:eastAsia="仿宋_GB2312" w:hAnsi="仿宋_GB2312" w:cs="仿宋_GB2312" w:hint="eastAsia"/>
          <w:sz w:val="32"/>
          <w:szCs w:val="32"/>
        </w:rPr>
        <w:t>或者买回证券；</w:t>
      </w:r>
    </w:p>
    <w:p w14:paraId="6E32013A"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（二）有关责任人员被责令依法处理非法持有的证券；</w:t>
      </w:r>
    </w:p>
    <w:p w14:paraId="0F65EE35"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有关责任人员持有的证券被依法强制扣划、卖出或转让；</w:t>
      </w:r>
    </w:p>
    <w:p w14:paraId="54701C87"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（四）根据相关法律、行政法规、中国证监会规定或者依法制定的证券交易场所相关业务规则，为防范和化解信用类业务风险需要继续交易证券；</w:t>
      </w:r>
    </w:p>
    <w:p w14:paraId="6C034680"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（五）为履行在被禁入前已经报送或者已经公开披露的材料中约定的义务需要继续交易证券；</w:t>
      </w:r>
    </w:p>
    <w:p w14:paraId="54B48613"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（六）卖出被禁入前已经持有的证券；</w:t>
      </w:r>
    </w:p>
    <w:p w14:paraId="2C885E32"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（七）法律、行政法规、中国证监会或者依法制定的证券交易场所业务规则规定，或者中国证监会认定的其他情形。</w:t>
      </w:r>
    </w:p>
    <w:p w14:paraId="06926F19"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被采取本规定第四条第一款第二项证券市场禁入措施的人员，应当在收到证券市场禁入决定后立即停止证券交易活动。</w:t>
      </w:r>
    </w:p>
    <w:p w14:paraId="3ABCB7C6"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证券交易场所应当做好相配套的限制证券账户交易权限工作，证券登记结算机构和证券公司应当予以配合。</w:t>
      </w:r>
    </w:p>
    <w:p w14:paraId="74E2E86A"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Style w:val="10"/>
          <w:rFonts w:ascii="黑体" w:hAnsi="黑体" w:cs="黑体" w:hint="eastAsia"/>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违反法律、行政法规或者中国证监会有关规定，情节严重的，可以对有关责任人员采取</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年以上</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年以下本规定第四条第一款第一项规定的证券市场禁入措施；行为恶劣、严重扰乱证券市场秩序、严重损害投资者利益或者在重大违法活动中起主要作用等情节较为严重的，可以对有关责任人员采取</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年以</w:t>
      </w:r>
      <w:r>
        <w:rPr>
          <w:rFonts w:ascii="仿宋_GB2312" w:eastAsia="仿宋_GB2312" w:hAnsi="仿宋_GB2312" w:cs="仿宋_GB2312" w:hint="eastAsia"/>
          <w:sz w:val="32"/>
          <w:szCs w:val="32"/>
        </w:rPr>
        <w:lastRenderedPageBreak/>
        <w:t>上</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年以下本规定第四条第一款第一项规定的证券市场禁入措施；有下列情形之一的，可以对有关责任人员终身采取本规定第四条第一款第一项规定的证券市场禁入措施：</w:t>
      </w:r>
    </w:p>
    <w:p w14:paraId="3FFB2145"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（一）严重违反法律、行政法规或者中国证监会有关规定，被人民法院生效司法裁判认定构成犯罪的；</w:t>
      </w:r>
    </w:p>
    <w:p w14:paraId="20382A29"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（二）从业人员等负有法定职责的人员，故意不履行法律、行政法规或者中国证监会规</w:t>
      </w:r>
      <w:r>
        <w:rPr>
          <w:rFonts w:ascii="仿宋_GB2312" w:eastAsia="仿宋_GB2312" w:hAnsi="仿宋_GB2312" w:cs="仿宋_GB2312" w:hint="eastAsia"/>
          <w:sz w:val="32"/>
          <w:szCs w:val="32"/>
        </w:rPr>
        <w:t>定的义务，并造成特别恶劣社会影响，或者致使投资者利益受到特别严重损害，或者导致其他特别严重后果的；</w:t>
      </w:r>
    </w:p>
    <w:p w14:paraId="25B6356C"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在报送或者公开披露的材料中，隐瞒、编造或者篡改重要事实、重要财务数据或者其他重要信息，或者组织、指使从事前述行为或者隐瞒相关事项导致发生上述情形，严重扰乱证券市场秩序，或者造成特别恶劣社会影响，或者致使投资者利益受到特别严重损害的；</w:t>
      </w:r>
    </w:p>
    <w:p w14:paraId="5A2C317F"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（四）违反法律、行政法规或者中国证监会有关规定，从事欺诈发行、内幕交易、操纵证券市场等违法行为，严重扰乱证券市场秩序并造成特别恶劣社会影响，或者获取违法所得等不当利益数额特</w:t>
      </w:r>
      <w:r>
        <w:rPr>
          <w:rFonts w:ascii="仿宋_GB2312" w:eastAsia="仿宋_GB2312" w:hAnsi="仿宋_GB2312" w:cs="仿宋_GB2312" w:hint="eastAsia"/>
          <w:sz w:val="32"/>
          <w:szCs w:val="32"/>
        </w:rPr>
        <w:t>别巨大，或者致使投资者利益受到特别严重损害的；</w:t>
      </w:r>
    </w:p>
    <w:p w14:paraId="6C73B6FE"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（五）违反法律、行政法规或者中国证监会有关规定，情节严重，应当采取证券市场禁入措施，且存在故意出具</w:t>
      </w:r>
      <w:proofErr w:type="gramStart"/>
      <w:r>
        <w:rPr>
          <w:rFonts w:ascii="仿宋_GB2312" w:eastAsia="仿宋_GB2312" w:hAnsi="仿宋_GB2312" w:cs="仿宋_GB2312" w:hint="eastAsia"/>
          <w:sz w:val="32"/>
          <w:szCs w:val="32"/>
        </w:rPr>
        <w:t>虚假重要</w:t>
      </w:r>
      <w:proofErr w:type="gramEnd"/>
      <w:r>
        <w:rPr>
          <w:rFonts w:ascii="仿宋_GB2312" w:eastAsia="仿宋_GB2312" w:hAnsi="仿宋_GB2312" w:cs="仿宋_GB2312" w:hint="eastAsia"/>
          <w:sz w:val="32"/>
          <w:szCs w:val="32"/>
        </w:rPr>
        <w:t>证据，隐瞒、毁损重要证据等阻碍、抗拒执法单位及其工作人员依法行使监督检查、调查职权行为的；</w:t>
      </w:r>
    </w:p>
    <w:p w14:paraId="2E4010A8"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（六）因违反法律、行政法规或者中国证监会有关规定，</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年内曾经被执法单位给予行政处罚</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次以上，或者</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年内曾经被采取本规定第四条第一款第一项规定的证券市场禁入措施的；</w:t>
      </w:r>
    </w:p>
    <w:p w14:paraId="6ACBC389"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（七）组织、策划、领导或者实施重大违反法律、行政法规或者中国证监会有关规定的活动的；</w:t>
      </w:r>
    </w:p>
    <w:p w14:paraId="26195C0D"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（八）其他违反法</w:t>
      </w:r>
      <w:r>
        <w:rPr>
          <w:rFonts w:ascii="仿宋_GB2312" w:eastAsia="仿宋_GB2312" w:hAnsi="仿宋_GB2312" w:cs="仿宋_GB2312" w:hint="eastAsia"/>
          <w:sz w:val="32"/>
          <w:szCs w:val="32"/>
        </w:rPr>
        <w:t>律、行政法规或者中国证监会有关规定，情节特别严重的。</w:t>
      </w:r>
    </w:p>
    <w:p w14:paraId="35ED2D2C"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违反法律、行政法规或者中国证监会有关规定，影响证券交易秩序或者交易公平，情节严重的，可以对有关责任人员采取本规定第四条第一款第二项规定的证券市场禁入措施，禁止交易的持续时间不超过</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w:t>
      </w:r>
    </w:p>
    <w:p w14:paraId="66EAD1A4"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Style w:val="10"/>
          <w:rFonts w:ascii="黑体" w:hAnsi="黑体" w:cs="黑体" w:hint="eastAsia"/>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违反法律、行政法规或者中国证监会有关规定，情节严重的，可以单独对有关责任人员采取证券市场禁入措施，或者一并依法进行行政处罚；涉嫌犯罪的，依法移送有关部门，并可同时采取证券市场禁入措施。</w:t>
      </w:r>
    </w:p>
    <w:p w14:paraId="5979668E" w14:textId="77777777" w:rsidR="00157D85" w:rsidRDefault="00724D45">
      <w:pPr>
        <w:widowControl/>
        <w:tabs>
          <w:tab w:val="left" w:pos="1440"/>
          <w:tab w:val="left" w:pos="1800"/>
        </w:tabs>
        <w:ind w:firstLineChars="213" w:firstLine="682"/>
        <w:rPr>
          <w:rFonts w:ascii="仿宋_GB2312" w:eastAsia="仿宋_GB2312" w:hAnsi="仿宋_GB2312" w:cs="仿宋_GB2312"/>
          <w:sz w:val="32"/>
          <w:szCs w:val="32"/>
        </w:rPr>
      </w:pPr>
      <w:r>
        <w:rPr>
          <w:rStyle w:val="10"/>
          <w:rFonts w:ascii="黑体" w:hAnsi="黑体" w:cs="黑体" w:hint="eastAsia"/>
          <w:szCs w:val="32"/>
        </w:rPr>
        <w:lastRenderedPageBreak/>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有下列情形之一的，应当对有关责任人员从轻、减轻采取证券市场禁入措施</w:t>
      </w:r>
      <w:r>
        <w:rPr>
          <w:rFonts w:ascii="仿宋_GB2312" w:eastAsia="仿宋_GB2312" w:hAnsi="仿宋_GB2312" w:cs="仿宋_GB2312" w:hint="eastAsia"/>
          <w:sz w:val="32"/>
          <w:szCs w:val="32"/>
        </w:rPr>
        <w:t>：</w:t>
      </w:r>
    </w:p>
    <w:p w14:paraId="21603798" w14:textId="77777777" w:rsidR="00157D85" w:rsidRDefault="00724D45">
      <w:pPr>
        <w:widowControl/>
        <w:tabs>
          <w:tab w:val="left" w:pos="1440"/>
          <w:tab w:val="left" w:pos="1800"/>
        </w:tabs>
        <w:ind w:firstLineChars="213" w:firstLine="682"/>
        <w:rPr>
          <w:rFonts w:ascii="仿宋_GB2312" w:eastAsia="仿宋_GB2312" w:hAnsi="仿宋_GB2312" w:cs="仿宋_GB2312"/>
          <w:sz w:val="32"/>
          <w:szCs w:val="32"/>
        </w:rPr>
      </w:pPr>
      <w:r>
        <w:rPr>
          <w:rFonts w:ascii="仿宋_GB2312" w:eastAsia="仿宋_GB2312" w:hAnsi="仿宋_GB2312" w:cs="仿宋_GB2312" w:hint="eastAsia"/>
          <w:sz w:val="32"/>
          <w:szCs w:val="32"/>
        </w:rPr>
        <w:t>（一）主动消除或者减轻违法行为危害后果的；</w:t>
      </w:r>
    </w:p>
    <w:p w14:paraId="03418C2D" w14:textId="77777777" w:rsidR="00157D85" w:rsidRDefault="00724D45">
      <w:pPr>
        <w:widowControl/>
        <w:tabs>
          <w:tab w:val="left" w:pos="1440"/>
          <w:tab w:val="left" w:pos="1800"/>
        </w:tabs>
        <w:ind w:firstLineChars="213" w:firstLine="682"/>
        <w:rPr>
          <w:rFonts w:ascii="仿宋_GB2312" w:eastAsia="仿宋_GB2312" w:hAnsi="仿宋_GB2312" w:cs="仿宋_GB2312"/>
          <w:sz w:val="32"/>
          <w:szCs w:val="32"/>
        </w:rPr>
      </w:pPr>
      <w:r>
        <w:rPr>
          <w:rFonts w:ascii="仿宋_GB2312" w:eastAsia="仿宋_GB2312" w:hAnsi="仿宋_GB2312" w:cs="仿宋_GB2312" w:hint="eastAsia"/>
          <w:sz w:val="32"/>
          <w:szCs w:val="32"/>
        </w:rPr>
        <w:t>（二）配合查处违法行为有立功表现的；</w:t>
      </w:r>
    </w:p>
    <w:p w14:paraId="04AB588B" w14:textId="77777777" w:rsidR="00157D85" w:rsidRDefault="00724D45">
      <w:pPr>
        <w:widowControl/>
        <w:tabs>
          <w:tab w:val="left" w:pos="1440"/>
          <w:tab w:val="left" w:pos="1800"/>
        </w:tabs>
        <w:ind w:firstLineChars="213" w:firstLine="682"/>
        <w:rPr>
          <w:rFonts w:ascii="仿宋_GB2312" w:eastAsia="仿宋_GB2312" w:hAnsi="仿宋_GB2312" w:cs="仿宋_GB2312"/>
          <w:sz w:val="32"/>
          <w:szCs w:val="32"/>
        </w:rPr>
      </w:pPr>
      <w:r>
        <w:rPr>
          <w:rFonts w:ascii="仿宋_GB2312" w:eastAsia="仿宋_GB2312" w:hAnsi="仿宋_GB2312" w:cs="仿宋_GB2312" w:hint="eastAsia"/>
          <w:sz w:val="32"/>
          <w:szCs w:val="32"/>
        </w:rPr>
        <w:t>（三）受他人胁迫或者诱骗实施违法行为的；</w:t>
      </w:r>
    </w:p>
    <w:p w14:paraId="3C7076D5" w14:textId="77777777" w:rsidR="00157D85" w:rsidRDefault="00724D45">
      <w:pPr>
        <w:widowControl/>
        <w:tabs>
          <w:tab w:val="left" w:pos="1440"/>
          <w:tab w:val="left" w:pos="1800"/>
        </w:tabs>
        <w:ind w:firstLineChars="213" w:firstLine="682"/>
        <w:rPr>
          <w:rFonts w:ascii="仿宋_GB2312" w:eastAsia="仿宋_GB2312" w:hAnsi="仿宋_GB2312" w:cs="仿宋_GB2312"/>
          <w:sz w:val="32"/>
          <w:szCs w:val="32"/>
        </w:rPr>
      </w:pPr>
      <w:r>
        <w:rPr>
          <w:rFonts w:ascii="仿宋_GB2312" w:eastAsia="仿宋_GB2312" w:hAnsi="仿宋_GB2312" w:cs="仿宋_GB2312" w:hint="eastAsia"/>
          <w:sz w:val="32"/>
          <w:szCs w:val="32"/>
        </w:rPr>
        <w:t>（四）在执法单位依法</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行政处罚决定或者证券市场禁入决定前主动交代违法行为的；</w:t>
      </w:r>
    </w:p>
    <w:p w14:paraId="418BABE7" w14:textId="77777777" w:rsidR="00157D85" w:rsidRDefault="00724D45">
      <w:pPr>
        <w:widowControl/>
        <w:tabs>
          <w:tab w:val="left" w:pos="1440"/>
          <w:tab w:val="left" w:pos="1800"/>
        </w:tabs>
        <w:ind w:firstLineChars="213" w:firstLine="682"/>
        <w:rPr>
          <w:rFonts w:ascii="仿宋_GB2312" w:eastAsia="仿宋_GB2312" w:hAnsi="仿宋_GB2312" w:cs="仿宋_GB2312"/>
          <w:sz w:val="32"/>
          <w:szCs w:val="32"/>
        </w:rPr>
      </w:pPr>
      <w:r>
        <w:rPr>
          <w:rFonts w:ascii="仿宋_GB2312" w:eastAsia="仿宋_GB2312" w:hAnsi="仿宋_GB2312" w:cs="仿宋_GB2312" w:hint="eastAsia"/>
          <w:sz w:val="32"/>
          <w:szCs w:val="32"/>
        </w:rPr>
        <w:t>（五）其他依法应当从轻、减轻采取证券市场禁入措施的。</w:t>
      </w:r>
    </w:p>
    <w:p w14:paraId="264E8201" w14:textId="77777777" w:rsidR="00157D85" w:rsidRDefault="00724D45">
      <w:pPr>
        <w:widowControl/>
        <w:tabs>
          <w:tab w:val="left" w:pos="1440"/>
          <w:tab w:val="left" w:pos="1800"/>
        </w:tabs>
        <w:ind w:firstLineChars="213" w:firstLine="682"/>
        <w:rPr>
          <w:rFonts w:ascii="仿宋_GB2312" w:eastAsia="仿宋_GB2312" w:hAnsi="仿宋_GB2312" w:cs="仿宋_GB2312"/>
          <w:sz w:val="32"/>
          <w:szCs w:val="32"/>
        </w:rPr>
      </w:pPr>
      <w:r>
        <w:rPr>
          <w:rFonts w:ascii="仿宋_GB2312" w:eastAsia="仿宋_GB2312" w:hAnsi="仿宋_GB2312" w:cs="仿宋_GB2312" w:hint="eastAsia"/>
          <w:sz w:val="32"/>
          <w:szCs w:val="32"/>
        </w:rPr>
        <w:t>违法情节轻微并及时纠正，没有造成危害后果的，免予采取证券市场禁入措施。初次违法并且危害后果轻微并及时纠正的，可以免予采取证券市场禁入措施。</w:t>
      </w:r>
    </w:p>
    <w:p w14:paraId="2CDE25F9"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Style w:val="10"/>
          <w:rFonts w:ascii="黑体" w:hAnsi="黑体" w:cs="黑体" w:hint="eastAsia"/>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共同违反法律、行政法规或者中国证监会有关规定，需要采取证券市场禁入措施的，对负次要责任的人员，可以比照应负主要责任的人员，适当从轻、减轻或者免予采取证券市场禁入措施。</w:t>
      </w:r>
    </w:p>
    <w:p w14:paraId="6163917B"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Style w:val="10"/>
          <w:rFonts w:ascii="黑体" w:hAnsi="黑体" w:cs="黑体" w:hint="eastAsia"/>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执法单位采取证券市场禁入措施前，应当告知当事人采取证券市场禁入措施的事实、理由及依据，并告知当事人有陈述、申辩和要求举行听证的权利。具体程序按照《中国证券监督管理委员会行政处罚听证规</w:t>
      </w:r>
      <w:r>
        <w:rPr>
          <w:rFonts w:ascii="仿宋_GB2312" w:eastAsia="仿宋_GB2312" w:hAnsi="仿宋_GB2312" w:cs="仿宋_GB2312" w:hint="eastAsia"/>
          <w:sz w:val="32"/>
          <w:szCs w:val="32"/>
        </w:rPr>
        <w:t>则》等规定执行。</w:t>
      </w:r>
    </w:p>
    <w:p w14:paraId="43D0F539" w14:textId="77777777" w:rsidR="00157D85" w:rsidRDefault="00724D45">
      <w:pPr>
        <w:widowControl/>
        <w:tabs>
          <w:tab w:val="left" w:pos="1440"/>
          <w:tab w:val="left" w:pos="1800"/>
        </w:tabs>
        <w:ind w:firstLineChars="213" w:firstLine="682"/>
        <w:rPr>
          <w:rFonts w:ascii="仿宋_GB2312" w:eastAsia="仿宋_GB2312" w:hAnsi="仿宋_GB2312" w:cs="仿宋_GB2312"/>
          <w:sz w:val="32"/>
          <w:szCs w:val="32"/>
        </w:rPr>
      </w:pPr>
      <w:r>
        <w:rPr>
          <w:rStyle w:val="10"/>
          <w:rFonts w:ascii="黑体" w:hAnsi="黑体" w:cs="黑体" w:hint="eastAsia"/>
          <w:szCs w:val="32"/>
        </w:rPr>
        <w:lastRenderedPageBreak/>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被采取证券市场禁入措施的人员因同一违法行为同时被人民法院生效司法裁判认定构成犯罪或者进行行政处罚的，如果对其所</w:t>
      </w:r>
      <w:proofErr w:type="gramStart"/>
      <w:r>
        <w:rPr>
          <w:rFonts w:ascii="仿宋_GB2312" w:eastAsia="仿宋_GB2312" w:hAnsi="仿宋_GB2312" w:cs="仿宋_GB2312" w:hint="eastAsia"/>
          <w:sz w:val="32"/>
          <w:szCs w:val="32"/>
        </w:rPr>
        <w:t>作人民法院</w:t>
      </w:r>
      <w:proofErr w:type="gramEnd"/>
      <w:r>
        <w:rPr>
          <w:rFonts w:ascii="仿宋_GB2312" w:eastAsia="仿宋_GB2312" w:hAnsi="仿宋_GB2312" w:cs="仿宋_GB2312" w:hint="eastAsia"/>
          <w:sz w:val="32"/>
          <w:szCs w:val="32"/>
        </w:rPr>
        <w:t>生效刑事司法裁判或行政处罚决定被依法撤销或者变更，并因此影响证券市场禁入措施的事实基础或者合法性、适当性的，依法撤销或者变更证券市场禁入措施。</w:t>
      </w:r>
    </w:p>
    <w:p w14:paraId="425C67DE" w14:textId="77777777" w:rsidR="00157D85" w:rsidRDefault="00724D45">
      <w:pPr>
        <w:widowControl/>
        <w:tabs>
          <w:tab w:val="left" w:pos="1440"/>
          <w:tab w:val="left" w:pos="1800"/>
        </w:tabs>
        <w:ind w:firstLineChars="213" w:firstLine="682"/>
        <w:rPr>
          <w:rFonts w:ascii="仿宋_GB2312" w:eastAsia="仿宋_GB2312" w:hAnsi="仿宋_GB2312" w:cs="仿宋_GB2312"/>
          <w:sz w:val="32"/>
          <w:szCs w:val="32"/>
        </w:rPr>
      </w:pPr>
      <w:r>
        <w:rPr>
          <w:rStyle w:val="10"/>
          <w:rFonts w:ascii="黑体" w:hAnsi="黑体" w:cs="黑体" w:hint="eastAsia"/>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被执法单位采取证券市场禁入措施的人员，执法单位将通过中国证监会或者相关派出机构网站，或者指定媒体向社会公布，并记入证券市场诚信档案。</w:t>
      </w:r>
    </w:p>
    <w:p w14:paraId="6E099985"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Style w:val="10"/>
          <w:rFonts w:ascii="黑体" w:hAnsi="黑体" w:cs="黑体" w:hint="eastAsia"/>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有关责任人员违反执法单位依法</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的证券市场禁入决定或者所在机</w:t>
      </w:r>
      <w:r>
        <w:rPr>
          <w:rFonts w:ascii="仿宋_GB2312" w:eastAsia="仿宋_GB2312" w:hAnsi="仿宋_GB2312" w:cs="仿宋_GB2312" w:hint="eastAsia"/>
          <w:sz w:val="32"/>
          <w:szCs w:val="32"/>
        </w:rPr>
        <w:t>构及相关工作人员不配合履行证券市场禁入决定的，执法单位可依据相关法律法规进行处罚，相关法律法规没有规定的，给予警告并处国务院规定限额以下的罚款；涉嫌犯罪的，依法移送有关部门追究刑事责任。</w:t>
      </w:r>
    </w:p>
    <w:p w14:paraId="01537669"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Style w:val="10"/>
          <w:rFonts w:ascii="黑体" w:hAnsi="黑体" w:cs="黑体" w:hint="eastAsia"/>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执法单位依法宣布个人或者单位的直接责任人员为期货市场禁止进入者的，可以参照本规定执行。</w:t>
      </w:r>
    </w:p>
    <w:p w14:paraId="79F24D9E"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Style w:val="10"/>
          <w:rFonts w:ascii="黑体" w:hAnsi="黑体" w:cs="黑体" w:hint="eastAsia"/>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本规定下列用语具有如下含义：</w:t>
      </w:r>
    </w:p>
    <w:p w14:paraId="5F989E6F"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（一）证券发行人：包括上市公司、非上市公众公司、公司债券发行人和法律、行政法规以及中国证监会规定的其他证券发行人；</w:t>
      </w:r>
    </w:p>
    <w:p w14:paraId="7D02ED40"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（二）信用类业务：包括融资融券、股票质押、债券质押式回购以及其他由法律、行政法规、中国证监会或者证券交易场所业务规则规定的，由投资者提供担保品进行资金或证券融通的交易活动；</w:t>
      </w:r>
    </w:p>
    <w:p w14:paraId="7454A3C9"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（三）从业人员：包括本规定第三条第二项、第三项、第四项、第五项和第</w:t>
      </w: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项规定的人员，或者执法单位认定的其他人员；</w:t>
      </w:r>
    </w:p>
    <w:p w14:paraId="6E1C59D1"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（四）立即：本规定第五条第二款所称“立即”是指证券市场禁入决定送达之日的次</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工作日，本规定第六条第二款所称“立</w:t>
      </w:r>
      <w:r>
        <w:rPr>
          <w:rFonts w:ascii="仿宋_GB2312" w:eastAsia="仿宋_GB2312" w:hAnsi="仿宋_GB2312" w:cs="仿宋_GB2312" w:hint="eastAsia"/>
          <w:sz w:val="32"/>
          <w:szCs w:val="32"/>
        </w:rPr>
        <w:t>即”是指证券市场禁入决定送达之日的次一交易日，法律、行政法规或者中国证监会另有规定的除外；</w:t>
      </w:r>
    </w:p>
    <w:p w14:paraId="50AE943F"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（五）本规定所称以上、以下、不超过，均包括本数。</w:t>
      </w:r>
    </w:p>
    <w:p w14:paraId="547A0F53"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Style w:val="10"/>
          <w:rFonts w:ascii="黑体" w:hAnsi="黑体" w:cs="黑体" w:hint="eastAsia"/>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本规定自</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日起施行。</w:t>
      </w:r>
      <w:r>
        <w:rPr>
          <w:rFonts w:ascii="仿宋_GB2312" w:eastAsia="仿宋_GB2312" w:hAnsi="仿宋_GB2312" w:cs="仿宋_GB2312" w:hint="eastAsia"/>
          <w:sz w:val="32"/>
          <w:szCs w:val="32"/>
        </w:rPr>
        <w:t>2006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日中国证监会发布施行的《证券市场禁入规定》（</w:t>
      </w:r>
      <w:r>
        <w:rPr>
          <w:rFonts w:ascii="仿宋_GB2312" w:eastAsia="仿宋_GB2312" w:hAnsi="仿宋_GB2312" w:cs="仿宋_GB2312" w:hint="eastAsia"/>
          <w:sz w:val="32"/>
          <w:szCs w:val="32"/>
        </w:rPr>
        <w:t>2006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日中国证券监督管理委员会第</w:t>
      </w:r>
      <w:r>
        <w:rPr>
          <w:rFonts w:ascii="仿宋_GB2312" w:eastAsia="仿宋_GB2312" w:hAnsi="仿宋_GB2312" w:cs="仿宋_GB2312" w:hint="eastAsia"/>
          <w:sz w:val="32"/>
          <w:szCs w:val="32"/>
        </w:rPr>
        <w:t>173</w:t>
      </w:r>
      <w:r>
        <w:rPr>
          <w:rFonts w:ascii="仿宋_GB2312" w:eastAsia="仿宋_GB2312" w:hAnsi="仿宋_GB2312" w:cs="仿宋_GB2312" w:hint="eastAsia"/>
          <w:sz w:val="32"/>
          <w:szCs w:val="32"/>
        </w:rPr>
        <w:t>次主席办公会议审议通过，根据</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日中国证券监督管理委员会《关于修改〈证券市场禁入规定〉的决定》修订，以下简称原规定）同时废止。</w:t>
      </w:r>
    </w:p>
    <w:p w14:paraId="69AAC635"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对于本规定实施前发生的应予证券市场禁入的违法行为，依照原规定办理，但适</w:t>
      </w:r>
      <w:r>
        <w:rPr>
          <w:rFonts w:ascii="仿宋_GB2312" w:eastAsia="仿宋_GB2312" w:hAnsi="仿宋_GB2312" w:cs="仿宋_GB2312" w:hint="eastAsia"/>
          <w:sz w:val="32"/>
          <w:szCs w:val="32"/>
        </w:rPr>
        <w:t>用本规定对有关责任人员有利的，适用本规定。</w:t>
      </w:r>
    </w:p>
    <w:p w14:paraId="5782BE09" w14:textId="77777777" w:rsidR="00157D85" w:rsidRDefault="00724D45">
      <w:pPr>
        <w:widowControl/>
        <w:tabs>
          <w:tab w:val="left" w:pos="1440"/>
          <w:tab w:val="left" w:pos="180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对发生于本规定实施以前，继续或者连续到本规定实施以后的行为，依照本规定办理。</w:t>
      </w:r>
      <w:r>
        <w:rPr>
          <w:rFonts w:ascii="仿宋_GB2312" w:eastAsia="仿宋_GB2312" w:hAnsi="仿宋_GB2312" w:cs="仿宋_GB2312" w:hint="eastAsia"/>
          <w:sz w:val="32"/>
          <w:szCs w:val="32"/>
        </w:rPr>
        <w:t xml:space="preserve"> </w:t>
      </w:r>
    </w:p>
    <w:p w14:paraId="4DC156DB" w14:textId="77777777" w:rsidR="00157D85" w:rsidRDefault="00157D85">
      <w:pPr>
        <w:rPr>
          <w:rFonts w:ascii="仿宋_GB2312" w:eastAsia="仿宋_GB2312" w:hAnsi="仿宋_GB2312" w:cs="仿宋_GB2312"/>
          <w:sz w:val="32"/>
          <w:szCs w:val="32"/>
        </w:rPr>
      </w:pPr>
    </w:p>
    <w:p w14:paraId="0D2DE581" w14:textId="77777777" w:rsidR="00157D85" w:rsidRDefault="00157D85">
      <w:pPr>
        <w:rPr>
          <w:rFonts w:ascii="仿宋_GB2312" w:eastAsia="仿宋_GB2312" w:hAnsi="仿宋_GB2312" w:cs="仿宋_GB2312"/>
          <w:sz w:val="32"/>
          <w:szCs w:val="32"/>
        </w:rPr>
      </w:pPr>
    </w:p>
    <w:sectPr w:rsidR="00157D85">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F5416" w14:textId="77777777" w:rsidR="00724D45" w:rsidRDefault="00724D45">
      <w:r>
        <w:separator/>
      </w:r>
    </w:p>
  </w:endnote>
  <w:endnote w:type="continuationSeparator" w:id="0">
    <w:p w14:paraId="442BD64C" w14:textId="77777777" w:rsidR="00724D45" w:rsidRDefault="00724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CC565" w14:textId="77777777" w:rsidR="00157D85" w:rsidRDefault="00724D45">
    <w:pPr>
      <w:pStyle w:val="a7"/>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45A1656B" wp14:editId="5BBC90B6">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57C61F" w14:textId="77777777" w:rsidR="00157D85" w:rsidRDefault="00724D45">
                          <w:pPr>
                            <w:pStyle w:val="a6"/>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5A1656B"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757C61F" w14:textId="77777777" w:rsidR="00157D85" w:rsidRDefault="00724D45">
                    <w:pPr>
                      <w:pStyle w:val="a6"/>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52AD9313" w14:textId="77777777" w:rsidR="00157D85" w:rsidRDefault="00724D45">
    <w:pPr>
      <w:pStyle w:val="a7"/>
      <w:wordWrap w:val="0"/>
      <w:ind w:leftChars="2280" w:left="4788" w:firstLineChars="2000" w:firstLine="6400"/>
      <w:jc w:val="right"/>
      <w:rPr>
        <w:rFonts w:ascii="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6C0883F6" wp14:editId="1DBB5926">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806F1E"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color w:val="FAFAFA"/>
        <w:sz w:val="32"/>
        <w:szCs w:val="48"/>
      </w:rPr>
      <w:t>X</w:t>
    </w:r>
    <w:r>
      <w:rPr>
        <w:rFonts w:ascii="宋体" w:hAnsi="宋体" w:cs="宋体" w:hint="eastAsia"/>
        <w:b/>
        <w:bCs/>
        <w:color w:val="005192"/>
        <w:sz w:val="28"/>
        <w:szCs w:val="44"/>
      </w:rPr>
      <w:t>证监会发布</w:t>
    </w:r>
    <w:r>
      <w:rPr>
        <w:rFonts w:ascii="宋体" w:hAnsi="宋体" w:cs="宋体" w:hint="eastAsia"/>
        <w:b/>
        <w:bCs/>
        <w:color w:val="005192"/>
        <w:sz w:val="28"/>
        <w:szCs w:val="44"/>
      </w:rPr>
      <w:t xml:space="preserve">     </w:t>
    </w:r>
  </w:p>
  <w:p w14:paraId="67F02282" w14:textId="77777777" w:rsidR="00157D85" w:rsidRDefault="00157D85">
    <w:pPr>
      <w:pStyle w:val="a7"/>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A6FB9" w14:textId="77777777" w:rsidR="00724D45" w:rsidRDefault="00724D45">
      <w:r>
        <w:separator/>
      </w:r>
    </w:p>
  </w:footnote>
  <w:footnote w:type="continuationSeparator" w:id="0">
    <w:p w14:paraId="12355886" w14:textId="77777777" w:rsidR="00724D45" w:rsidRDefault="00724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77A54" w14:textId="77777777" w:rsidR="00157D85" w:rsidRDefault="00724D45">
    <w:pPr>
      <w:pStyle w:val="a7"/>
      <w:textAlignment w:val="center"/>
      <w:rPr>
        <w:rFonts w:ascii="宋体" w:hAnsi="宋体" w:cs="宋体"/>
        <w:b/>
        <w:bCs/>
        <w:color w:val="005192"/>
        <w:sz w:val="32"/>
      </w:rPr>
    </w:pPr>
    <w:r>
      <w:rPr>
        <w:rFonts w:ascii="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1374D40A" wp14:editId="03F749FC">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326440"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302CDDA1" w14:textId="77777777" w:rsidR="00157D85" w:rsidRDefault="00724D45">
    <w:pPr>
      <w:pStyle w:val="a7"/>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14:anchorId="40DE0248" wp14:editId="200A490E">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证监会</w:t>
    </w:r>
    <w:r>
      <w:rPr>
        <w:rFonts w:ascii="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DDCD6867"/>
    <w:rsid w:val="00157D85"/>
    <w:rsid w:val="00172A27"/>
    <w:rsid w:val="00724D45"/>
    <w:rsid w:val="00D000A2"/>
    <w:rsid w:val="019E71BD"/>
    <w:rsid w:val="04B679C3"/>
    <w:rsid w:val="04C3634B"/>
    <w:rsid w:val="05266CD7"/>
    <w:rsid w:val="080F63D8"/>
    <w:rsid w:val="09341458"/>
    <w:rsid w:val="0B0912D7"/>
    <w:rsid w:val="0F8E19F1"/>
    <w:rsid w:val="152D2DCA"/>
    <w:rsid w:val="165E6451"/>
    <w:rsid w:val="195710EC"/>
    <w:rsid w:val="1DEC284C"/>
    <w:rsid w:val="1E6523AC"/>
    <w:rsid w:val="1F0B3C6F"/>
    <w:rsid w:val="22440422"/>
    <w:rsid w:val="27A05A7D"/>
    <w:rsid w:val="29314880"/>
    <w:rsid w:val="31A15F24"/>
    <w:rsid w:val="36D57A4F"/>
    <w:rsid w:val="395347B5"/>
    <w:rsid w:val="39A232A0"/>
    <w:rsid w:val="39E745AA"/>
    <w:rsid w:val="3AD6219F"/>
    <w:rsid w:val="3B5A6BBB"/>
    <w:rsid w:val="3EDA13A6"/>
    <w:rsid w:val="40203A89"/>
    <w:rsid w:val="42F058B7"/>
    <w:rsid w:val="436109F6"/>
    <w:rsid w:val="441A38D4"/>
    <w:rsid w:val="44AD6D9F"/>
    <w:rsid w:val="4B1C736F"/>
    <w:rsid w:val="4BC77339"/>
    <w:rsid w:val="4C9236C5"/>
    <w:rsid w:val="505C172E"/>
    <w:rsid w:val="524F2719"/>
    <w:rsid w:val="52F46F0B"/>
    <w:rsid w:val="53D8014D"/>
    <w:rsid w:val="55E064E0"/>
    <w:rsid w:val="56FF3650"/>
    <w:rsid w:val="570D012A"/>
    <w:rsid w:val="572C6D10"/>
    <w:rsid w:val="58C14A7E"/>
    <w:rsid w:val="5DC34279"/>
    <w:rsid w:val="608816D1"/>
    <w:rsid w:val="60EF4E7F"/>
    <w:rsid w:val="61940738"/>
    <w:rsid w:val="64A10ED4"/>
    <w:rsid w:val="65716891"/>
    <w:rsid w:val="665233C1"/>
    <w:rsid w:val="6AD9688B"/>
    <w:rsid w:val="6BA25C79"/>
    <w:rsid w:val="6BAF7169"/>
    <w:rsid w:val="6D0E3F22"/>
    <w:rsid w:val="6E030CD4"/>
    <w:rsid w:val="795864D9"/>
    <w:rsid w:val="7AA11315"/>
    <w:rsid w:val="7C367399"/>
    <w:rsid w:val="7C9011D9"/>
    <w:rsid w:val="7D856C6F"/>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B47C8"/>
  <w15:docId w15:val="{20F353D1-914F-4F2F-88D9-58F1448F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6" w:lineRule="auto"/>
      <w:jc w:val="center"/>
      <w:outlineLvl w:val="0"/>
    </w:pPr>
    <w:rPr>
      <w:rFonts w:eastAsia="黑体"/>
      <w:kern w:val="44"/>
      <w:sz w:val="32"/>
    </w:rPr>
  </w:style>
  <w:style w:type="paragraph" w:styleId="3">
    <w:name w:val="heading 3"/>
    <w:next w:val="a0"/>
    <w:qFormat/>
    <w:pPr>
      <w:keepNext/>
      <w:keepLines/>
      <w:widowControl w:val="0"/>
      <w:spacing w:before="260" w:after="260" w:line="415" w:lineRule="auto"/>
      <w:jc w:val="both"/>
      <w:outlineLvl w:val="2"/>
    </w:pPr>
    <w:rPr>
      <w:rFonts w:ascii="Times New Roman" w:hAnsi="Times New Roman"/>
      <w:b/>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hAnsi="Times New Roman"/>
    </w:rPr>
  </w:style>
  <w:style w:type="paragraph" w:styleId="a4">
    <w:name w:val="annotation text"/>
    <w:basedOn w:val="a"/>
    <w:qFormat/>
    <w:pPr>
      <w:jc w:val="left"/>
    </w:pPr>
  </w:style>
  <w:style w:type="paragraph" w:styleId="a5">
    <w:name w:val="Plain Text"/>
    <w:basedOn w:val="a"/>
    <w:qFormat/>
    <w:rPr>
      <w:rFonts w:ascii="宋体" w:hAnsi="Courier New"/>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jc w:val="left"/>
    </w:pPr>
    <w:rPr>
      <w:kern w:val="0"/>
      <w:sz w:val="24"/>
    </w:rPr>
  </w:style>
  <w:style w:type="character" w:styleId="a9">
    <w:name w:val="Strong"/>
    <w:qFormat/>
    <w:rPr>
      <w:b/>
    </w:rPr>
  </w:style>
  <w:style w:type="character" w:styleId="aa">
    <w:name w:val="page number"/>
    <w:basedOn w:val="a1"/>
    <w:qFormat/>
  </w:style>
  <w:style w:type="paragraph" w:customStyle="1" w:styleId="11">
    <w:name w:val="标题 11"/>
    <w:uiPriority w:val="1"/>
    <w:unhideWhenUsed/>
    <w:qFormat/>
    <w:pPr>
      <w:outlineLvl w:val="1"/>
    </w:pPr>
    <w:rPr>
      <w:sz w:val="21"/>
      <w:szCs w:val="22"/>
    </w:rPr>
  </w:style>
  <w:style w:type="paragraph" w:customStyle="1" w:styleId="p15">
    <w:name w:val="p15"/>
    <w:basedOn w:val="a"/>
    <w:qFormat/>
    <w:pPr>
      <w:widowControl/>
      <w:spacing w:before="100" w:after="100"/>
      <w:jc w:val="left"/>
    </w:pPr>
    <w:rPr>
      <w:rFonts w:ascii="宋体" w:hAnsi="宋体" w:cs="宋体"/>
      <w:color w:val="000000"/>
      <w:kern w:val="0"/>
      <w:sz w:val="24"/>
    </w:rPr>
  </w:style>
  <w:style w:type="character" w:customStyle="1" w:styleId="apple-style-span">
    <w:name w:val="apple-style-span"/>
    <w:qFormat/>
  </w:style>
  <w:style w:type="paragraph" w:customStyle="1" w:styleId="12">
    <w:name w:val="列出段落1"/>
    <w:qFormat/>
    <w:pPr>
      <w:widowControl w:val="0"/>
      <w:ind w:firstLineChars="200" w:firstLine="420"/>
      <w:jc w:val="both"/>
    </w:pPr>
    <w:rPr>
      <w:rFonts w:ascii="Times New Roman" w:hAnsi="Times New Roman"/>
      <w:kern w:val="2"/>
      <w:sz w:val="21"/>
    </w:rPr>
  </w:style>
  <w:style w:type="paragraph" w:customStyle="1" w:styleId="p0">
    <w:name w:val="p0"/>
    <w:basedOn w:val="a"/>
    <w:qFormat/>
    <w:pPr>
      <w:widowControl/>
      <w:spacing w:before="100" w:beforeAutospacing="1" w:after="100" w:afterAutospacing="1"/>
      <w:jc w:val="left"/>
    </w:pPr>
    <w:rPr>
      <w:rFonts w:ascii="宋体" w:hAnsi="宋体" w:cs="宋体" w:hint="eastAsia"/>
      <w:kern w:val="0"/>
      <w:sz w:val="24"/>
    </w:rPr>
  </w:style>
  <w:style w:type="character" w:customStyle="1" w:styleId="10">
    <w:name w:val="标题 1 字符"/>
    <w:link w:val="1"/>
    <w:qFormat/>
    <w:rPr>
      <w:rFonts w:eastAsia="黑体"/>
      <w:kern w:val="44"/>
      <w:sz w:val="32"/>
      <w:lang w:val="en-US" w:eastAsia="zh-CN"/>
    </w:rPr>
  </w:style>
  <w:style w:type="paragraph" w:customStyle="1" w:styleId="13">
    <w:name w:val="页脚1"/>
    <w:basedOn w:val="a"/>
    <w:qFormat/>
    <w:pPr>
      <w:tabs>
        <w:tab w:val="center" w:pos="4153"/>
        <w:tab w:val="right" w:pos="8306"/>
      </w:tabs>
      <w:snapToGrid w:val="0"/>
      <w:jc w:val="left"/>
    </w:pPr>
    <w:rPr>
      <w:sz w:val="18"/>
    </w:rPr>
  </w:style>
  <w:style w:type="character" w:customStyle="1" w:styleId="14">
    <w:name w:val="页码1"/>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664</Words>
  <Characters>3787</Characters>
  <Application>Microsoft Office Word</Application>
  <DocSecurity>0</DocSecurity>
  <Lines>31</Lines>
  <Paragraphs>8</Paragraphs>
  <ScaleCrop>false</ScaleCrop>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SS SS</cp:lastModifiedBy>
  <cp:revision>2</cp:revision>
  <cp:lastPrinted>2021-10-26T11:30:00Z</cp:lastPrinted>
  <dcterms:created xsi:type="dcterms:W3CDTF">2021-12-16T06:34:00Z</dcterms:created>
  <dcterms:modified xsi:type="dcterms:W3CDTF">2021-12-16T06:34:00Z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48C61CB29D3F4D9384F5922CF0F7FFB4</vt:lpwstr>
  </property>
</Properties>
</file>