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line="300" w:lineRule="auto"/>
        <w:jc w:val="center"/>
        <w:rPr>
          <w:rFonts w:hint="eastAsia" w:ascii="方正小标宋简体" w:hAnsi="方正小标宋简体" w:eastAsia="方正小标宋简体"/>
          <w:color w:val="FF0000"/>
          <w:spacing w:val="12"/>
          <w:w w:val="75"/>
          <w:sz w:val="60"/>
        </w:rPr>
      </w:pPr>
      <w:bookmarkStart w:id="1" w:name="_GoBack"/>
      <w:bookmarkEnd w:id="1"/>
      <w:r>
        <w:rPr>
          <w:rFonts w:hint="eastAsia" w:ascii="方正小标宋简体" w:hAnsi="方正小标宋简体" w:eastAsia="方正小标宋简体"/>
          <w:color w:val="FF0000"/>
          <w:w w:val="75"/>
          <w:sz w:val="60"/>
        </w:rPr>
        <w:t>中国证券监督管理委员会广东监管局</w:t>
      </w:r>
    </w:p>
    <w:p>
      <w:pPr>
        <w:snapToGrid w:val="0"/>
        <w:spacing w:line="300" w:lineRule="auto"/>
        <w:ind w:right="-194"/>
        <w:jc w:val="center"/>
        <w:rPr>
          <w:rFonts w:hint="eastAsia" w:ascii="方正小标宋简体" w:hAnsi="方正小标宋简体" w:eastAsia="方正小标宋简体"/>
          <w:snapToGrid w:val="0"/>
          <w:color w:val="FF0000"/>
          <w:spacing w:val="136"/>
          <w:kern w:val="0"/>
          <w:sz w:val="80"/>
        </w:rPr>
      </w:pPr>
      <w:r>
        <w:rPr>
          <w:rFonts w:hint="eastAsia" w:ascii="方正小标宋简体" w:hAnsi="方正小标宋简体" w:eastAsia="方正小标宋简体"/>
          <w:snapToGrid w:val="0"/>
          <w:color w:val="FF0000"/>
          <w:spacing w:val="136"/>
          <w:kern w:val="0"/>
          <w:sz w:val="80"/>
        </w:rPr>
        <w:t>行政处罚决定书</w:t>
      </w:r>
    </w:p>
    <w:p>
      <w:pPr>
        <w:keepNext w:val="0"/>
        <w:keepLines w:val="0"/>
        <w:pageBreakBefore w:val="0"/>
        <w:widowControl w:val="0"/>
        <w:kinsoku/>
        <w:wordWrap/>
        <w:overflowPunct/>
        <w:topLinePunct w:val="0"/>
        <w:autoSpaceDE/>
        <w:autoSpaceDN/>
        <w:bidi w:val="0"/>
        <w:snapToGrid w:val="0"/>
        <w:spacing w:before="0" w:beforeLines="0" w:after="0" w:afterLines="0" w:line="324" w:lineRule="auto"/>
        <w:ind w:left="0" w:leftChars="0" w:right="0" w:rightChars="0"/>
        <w:jc w:val="center"/>
        <w:textAlignment w:val="auto"/>
        <w:outlineLvl w:val="0"/>
        <w:rPr>
          <w:rFonts w:hint="eastAsia" w:ascii="仿宋_GB2312" w:eastAsia="仿宋_GB2312"/>
          <w:spacing w:val="12"/>
          <w:sz w:val="28"/>
        </w:rPr>
      </w:pPr>
      <w:bookmarkStart w:id="0" w:name="quanwen"/>
      <w:r>
        <w:rPr>
          <w:rFonts w:hint="eastAsia" w:ascii="仿宋_GB2312" w:eastAsia="仿宋_GB2312"/>
          <w:spacing w:val="12"/>
          <w:sz w:val="28"/>
        </w:rPr>
        <w:t>〔20</w:t>
      </w:r>
      <w:r>
        <w:rPr>
          <w:rFonts w:hint="eastAsia" w:ascii="仿宋_GB2312" w:eastAsia="仿宋_GB2312"/>
          <w:spacing w:val="12"/>
          <w:sz w:val="28"/>
          <w:lang w:val="en-US" w:eastAsia="zh-CN"/>
        </w:rPr>
        <w:t>2</w:t>
      </w:r>
      <w:r>
        <w:rPr>
          <w:rFonts w:hint="default" w:ascii="仿宋_GB2312" w:eastAsia="仿宋_GB2312"/>
          <w:spacing w:val="12"/>
          <w:sz w:val="28"/>
          <w:lang w:val="en-US" w:eastAsia="zh-CN"/>
        </w:rPr>
        <w:t>5</w:t>
      </w:r>
      <w:r>
        <w:rPr>
          <w:rFonts w:hint="eastAsia" w:ascii="仿宋_GB2312" w:eastAsia="仿宋_GB2312"/>
          <w:spacing w:val="12"/>
          <w:sz w:val="28"/>
        </w:rPr>
        <w:t>〕</w:t>
      </w:r>
      <w:r>
        <w:rPr>
          <w:rFonts w:hint="default" w:ascii="仿宋_GB2312" w:eastAsia="仿宋_GB2312"/>
          <w:spacing w:val="12"/>
          <w:sz w:val="28"/>
          <w:lang w:val="en-US"/>
        </w:rPr>
        <w:t>21</w:t>
      </w:r>
      <w:r>
        <w:rPr>
          <w:rFonts w:hint="eastAsia" w:ascii="仿宋_GB2312" w:eastAsia="仿宋_GB2312"/>
          <w:spacing w:val="12"/>
          <w:sz w:val="28"/>
        </w:rPr>
        <w:t>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292" w:firstLineChars="200"/>
        <w:textAlignment w:val="auto"/>
        <w:outlineLvl w:val="9"/>
        <w:rPr>
          <w:rFonts w:hint="eastAsia" w:ascii="仿宋_GB2312" w:eastAsia="仿宋_GB2312"/>
          <w:spacing w:val="8"/>
          <w:sz w:val="13"/>
          <w:szCs w:val="13"/>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292" w:firstLineChars="200"/>
        <w:textAlignment w:val="auto"/>
        <w:outlineLvl w:val="9"/>
        <w:rPr>
          <w:rFonts w:hint="eastAsia" w:ascii="仿宋_GB2312" w:eastAsia="仿宋_GB2312"/>
          <w:spacing w:val="8"/>
          <w:sz w:val="13"/>
          <w:szCs w:val="13"/>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Lines="0" w:line="300" w:lineRule="auto"/>
        <w:ind w:left="0" w:leftChars="0" w:right="0" w:rightChars="0" w:firstLine="640"/>
        <w:jc w:val="both"/>
        <w:textAlignment w:val="auto"/>
        <w:outlineLvl w:val="9"/>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当事人：常熟市新华化工有限公司（以下简称新华化工），住所：</w:t>
      </w:r>
      <w:r>
        <w:rPr>
          <w:rFonts w:hint="eastAsia" w:ascii="仿宋_GB2312" w:hAnsi="仿宋_GB2312" w:eastAsia="仿宋_GB2312" w:cs="仿宋_GB2312"/>
          <w:kern w:val="0"/>
          <w:sz w:val="32"/>
          <w:szCs w:val="32"/>
          <w:highlight w:val="none"/>
          <w:lang w:val="en-US" w:eastAsia="zh-CN"/>
        </w:rPr>
        <w:t>常熟市海虞镇江苏常熟新材料产业园海平路20号</w:t>
      </w:r>
      <w:r>
        <w:rPr>
          <w:rFonts w:hint="eastAsia" w:ascii="仿宋_GB2312" w:hAnsi="仿宋_GB2312" w:eastAsia="仿宋_GB2312" w:cs="Times New Roman"/>
          <w:kern w:val="0"/>
          <w:sz w:val="32"/>
          <w:szCs w:val="32"/>
          <w:lang w:val="en-US" w:eastAsia="zh-CN"/>
        </w:rPr>
        <w:t>。</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Lines="0" w:line="300" w:lineRule="auto"/>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Times New Roman"/>
          <w:color w:val="auto"/>
          <w:kern w:val="0"/>
          <w:sz w:val="32"/>
          <w:szCs w:val="32"/>
          <w:lang w:val="en-US" w:eastAsia="zh-CN" w:bidi="ar-SA"/>
        </w:rPr>
        <w:t>依据《中华人民共和国证券法》（以下简称《证券法》）的有关规定，我局对新华化工涉嫌短线交易“天际股份”股票进行了立案调查，并依法向当事人告知了作出行政处罚的事实、理由、依据及当事人依法享有的权利。当事人新华化工未提出陈述、申辩，也未要求听证。本案现已调查、办理终结</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Lines="0" w:line="300" w:lineRule="auto"/>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经查明，</w:t>
      </w:r>
      <w:r>
        <w:rPr>
          <w:rFonts w:hint="eastAsia" w:ascii="仿宋_GB2312" w:hAnsi="仿宋_GB2312" w:eastAsia="仿宋_GB2312" w:cs="仿宋_GB2312"/>
          <w:b w:val="0"/>
          <w:bCs w:val="0"/>
          <w:color w:val="auto"/>
          <w:kern w:val="0"/>
          <w:sz w:val="32"/>
          <w:szCs w:val="32"/>
          <w:lang w:val="en-US" w:eastAsia="zh-CN"/>
        </w:rPr>
        <w:t>新华化工</w:t>
      </w:r>
      <w:r>
        <w:rPr>
          <w:rFonts w:hint="eastAsia" w:ascii="仿宋_GB2312" w:hAnsi="仿宋_GB2312" w:eastAsia="仿宋_GB2312" w:cs="仿宋_GB2312"/>
          <w:kern w:val="0"/>
          <w:sz w:val="32"/>
          <w:szCs w:val="32"/>
          <w:lang w:val="en-US" w:eastAsia="zh-CN" w:bidi="ar-SA"/>
        </w:rPr>
        <w:t>存在以下违法事实：</w:t>
      </w:r>
    </w:p>
    <w:p>
      <w:pPr>
        <w:pStyle w:val="8"/>
        <w:keepNext w:val="0"/>
        <w:keepLines w:val="0"/>
        <w:pageBreakBefore w:val="0"/>
        <w:widowControl w:val="0"/>
        <w:kinsoku/>
        <w:wordWrap/>
        <w:overflowPunct/>
        <w:topLinePunct w:val="0"/>
        <w:autoSpaceDE/>
        <w:autoSpaceDN/>
        <w:bidi w:val="0"/>
        <w:adjustRightInd w:val="0"/>
        <w:snapToGrid w:val="0"/>
        <w:spacing w:beforeLines="0" w:afterLines="0" w:line="300" w:lineRule="auto"/>
        <w:ind w:left="0" w:leftChars="0"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val="0"/>
          <w:bCs w:val="0"/>
          <w:kern w:val="0"/>
          <w:sz w:val="32"/>
          <w:szCs w:val="32"/>
          <w:lang w:val="en-US" w:eastAsia="zh-CN"/>
        </w:rPr>
        <w:t>新华化工系持有天际股份百分之五以上股份的股东，存在卖出“天际股份”后六个月内又买入的情形。其中，新华化工</w:t>
      </w:r>
      <w:r>
        <w:rPr>
          <w:rFonts w:hint="eastAsia" w:ascii="仿宋_GB2312" w:hAnsi="仿宋_GB2312" w:eastAsia="仿宋_GB2312" w:cs="仿宋_GB2312"/>
          <w:b w:val="0"/>
          <w:bCs w:val="0"/>
          <w:kern w:val="0"/>
          <w:sz w:val="32"/>
          <w:szCs w:val="32"/>
          <w:highlight w:val="none"/>
          <w:lang w:val="en-US" w:eastAsia="zh-CN"/>
        </w:rPr>
        <w:t>2025年</w:t>
      </w:r>
      <w:r>
        <w:rPr>
          <w:rFonts w:hint="eastAsia" w:ascii="仿宋_GB2312" w:hAnsi="仿宋_GB2312" w:eastAsia="仿宋_GB2312" w:cs="仿宋_GB2312"/>
          <w:b w:val="0"/>
          <w:bCs w:val="0"/>
          <w:kern w:val="0"/>
          <w:sz w:val="32"/>
          <w:szCs w:val="32"/>
          <w:lang w:val="en-US" w:eastAsia="zh-CN"/>
        </w:rPr>
        <w:t>9月8日以大宗交易的方式卖出2,500,000股，成交金额38,200,000元；9月9日以大宗交易的方式卖出3,300,000股，以集中竞价的方式卖出1,200,000股，成交金额合计75,645,000元；9月29日以大宗交易的方式卖出5,000,000股,成交金额89,650,000元，当日以大宗交易的方式买入4,500,000股，成交金额66,015,000元。9月30日，新华化工将前述短线交易收益上缴天际股份</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00" w:lineRule="auto"/>
        <w:ind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上述有关违法事实，有证券账户资料、银行账户资料、上市公司公告文件、相关当事人询问笔录、情况说明等证据证明，足以认定。</w:t>
      </w:r>
    </w:p>
    <w:p>
      <w:pPr>
        <w:widowControl w:val="0"/>
        <w:wordWrap/>
        <w:overflowPunct w:val="0"/>
        <w:adjustRightInd/>
        <w:snapToGrid w:val="0"/>
        <w:spacing w:before="0" w:beforeLines="0" w:after="0" w:afterLines="0" w:line="300" w:lineRule="auto"/>
        <w:ind w:left="0" w:leftChars="0" w:right="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我局认为，</w:t>
      </w:r>
      <w:r>
        <w:rPr>
          <w:rFonts w:hint="eastAsia" w:ascii="仿宋_GB2312" w:hAnsi="仿宋_GB2312" w:eastAsia="仿宋_GB2312" w:cs="仿宋_GB2312"/>
          <w:b w:val="0"/>
          <w:bCs w:val="0"/>
          <w:kern w:val="0"/>
          <w:sz w:val="32"/>
          <w:szCs w:val="32"/>
          <w:lang w:val="en-US" w:eastAsia="zh-CN"/>
        </w:rPr>
        <w:t>新华化工上述行为违反《证券法》第四十四条第一款的规定，构成《证券法》</w:t>
      </w:r>
      <w:r>
        <w:rPr>
          <w:rFonts w:hint="eastAsia" w:ascii="仿宋_GB2312" w:hAnsi="仿宋_GB2312" w:eastAsia="仿宋_GB2312" w:cs="仿宋_GB2312"/>
          <w:b w:val="0"/>
          <w:bCs w:val="0"/>
          <w:kern w:val="0"/>
          <w:sz w:val="32"/>
          <w:szCs w:val="32"/>
          <w:lang w:val="en" w:eastAsia="zh-CN"/>
        </w:rPr>
        <w:t>第</w:t>
      </w:r>
      <w:r>
        <w:rPr>
          <w:rFonts w:hint="default" w:ascii="仿宋_GB2312" w:hAnsi="仿宋_GB2312" w:eastAsia="仿宋_GB2312" w:cs="仿宋_GB2312"/>
          <w:b w:val="0"/>
          <w:bCs w:val="0"/>
          <w:kern w:val="0"/>
          <w:sz w:val="32"/>
          <w:szCs w:val="32"/>
          <w:lang w:val="en" w:eastAsia="zh-CN"/>
        </w:rPr>
        <w:t>一百八十九条</w:t>
      </w:r>
      <w:r>
        <w:rPr>
          <w:rFonts w:hint="eastAsia" w:ascii="仿宋_GB2312" w:hAnsi="仿宋_GB2312" w:eastAsia="仿宋_GB2312" w:cs="仿宋_GB2312"/>
          <w:b w:val="0"/>
          <w:bCs w:val="0"/>
          <w:kern w:val="0"/>
          <w:sz w:val="32"/>
          <w:szCs w:val="32"/>
          <w:lang w:val="en-US" w:eastAsia="zh-CN"/>
        </w:rPr>
        <w:t>所述违法行为。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00" w:lineRule="auto"/>
        <w:ind w:right="0" w:rightChars="0" w:firstLine="640" w:firstLineChars="200"/>
        <w:jc w:val="both"/>
        <w:textAlignment w:val="auto"/>
        <w:outlineLvl w:val="9"/>
        <w:rPr>
          <w:rFonts w:hint="eastAsia" w:ascii="仿宋_GB2312" w:hAnsi="仿宋_GB2312" w:eastAsia="仿宋_GB2312" w:cs="楷体_GB2312"/>
          <w:kern w:val="0"/>
          <w:sz w:val="32"/>
          <w:szCs w:val="32"/>
          <w:lang w:val="en-US" w:eastAsia="zh-CN" w:bidi="ar-SA"/>
        </w:rPr>
      </w:pPr>
      <w:r>
        <w:rPr>
          <w:rFonts w:hint="eastAsia" w:ascii="仿宋_GB2312" w:hAnsi="仿宋_GB2312" w:eastAsia="仿宋_GB2312" w:cs="楷体_GB2312"/>
          <w:kern w:val="0"/>
          <w:sz w:val="32"/>
          <w:szCs w:val="32"/>
          <w:lang w:val="en-US" w:eastAsia="zh-CN" w:bidi="ar-SA"/>
        </w:rPr>
        <w:t>根据当事人违法行为的事实、性质、情节及社会危害程度，依据</w:t>
      </w:r>
      <w:r>
        <w:rPr>
          <w:rFonts w:hint="eastAsia" w:ascii="仿宋_GB2312" w:hAnsi="仿宋_GB2312" w:eastAsia="仿宋_GB2312" w:cs="仿宋_GB2312"/>
          <w:kern w:val="0"/>
          <w:sz w:val="32"/>
          <w:szCs w:val="32"/>
          <w:lang w:val="en-US" w:eastAsia="zh-CN" w:bidi="ar-SA"/>
        </w:rPr>
        <w:t>《证券法》第一百八十九条的规定</w:t>
      </w:r>
      <w:r>
        <w:rPr>
          <w:rFonts w:hint="eastAsia" w:ascii="仿宋_GB2312" w:hAnsi="仿宋_GB2312" w:eastAsia="仿宋_GB2312" w:cs="楷体_GB2312"/>
          <w:kern w:val="0"/>
          <w:sz w:val="32"/>
          <w:szCs w:val="32"/>
          <w:lang w:val="en-US" w:eastAsia="zh-CN" w:bidi="ar-SA"/>
        </w:rPr>
        <w:t>，我局决定：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right="0" w:rightChars="0" w:firstLine="640" w:firstLineChars="200"/>
        <w:jc w:val="both"/>
        <w:textAlignment w:val="auto"/>
        <w:outlineLvl w:val="9"/>
        <w:rPr>
          <w:rFonts w:hint="eastAsia" w:ascii="仿宋_GB2312" w:hAnsi="仿宋_GB2312" w:eastAsia="仿宋_GB2312" w:cs="楷体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对新华化工给予警告，并处以50万元罚款。</w:t>
      </w:r>
    </w:p>
    <w:p>
      <w:pPr>
        <w:keepNext w:val="0"/>
        <w:keepLines w:val="0"/>
        <w:pageBreakBefore w:val="0"/>
        <w:widowControl w:val="0"/>
        <w:pBdr>
          <w:top w:val="none" w:color="auto" w:sz="0" w:space="0"/>
        </w:pBdr>
        <w:kinsoku/>
        <w:wordWrap/>
        <w:overflowPunct w:val="0"/>
        <w:topLinePunct w:val="0"/>
        <w:autoSpaceDE/>
        <w:autoSpaceDN/>
        <w:bidi w:val="0"/>
        <w:adjustRightInd w:val="0"/>
        <w:snapToGrid w:val="0"/>
        <w:spacing w:beforeLines="0" w:afterLines="0" w:line="300" w:lineRule="auto"/>
        <w:ind w:right="0" w:firstLine="640" w:firstLineChars="200"/>
        <w:jc w:val="both"/>
        <w:textAlignment w:val="auto"/>
        <w:outlineLvl w:val="9"/>
        <w:rPr>
          <w:rFonts w:hint="default" w:ascii="仿宋_GB2312" w:eastAsia="仿宋_GB2312"/>
          <w:spacing w:val="0"/>
          <w:kern w:val="0"/>
          <w:sz w:val="2"/>
          <w:szCs w:val="2"/>
          <w:lang w:val="en-US" w:eastAsia="zh-CN"/>
        </w:rPr>
      </w:pPr>
      <w:r>
        <w:rPr>
          <w:rFonts w:hint="eastAsia" w:ascii="仿宋_GB2312" w:hAnsi="仿宋_GB2312" w:eastAsia="仿宋_GB2312" w:cs="楷体_GB2312"/>
          <w:kern w:val="0"/>
          <w:sz w:val="32"/>
          <w:szCs w:val="32"/>
          <w:lang w:val="en-US" w:eastAsia="zh-CN" w:bidi="ar-SA"/>
        </w:rPr>
        <w:t>上述当事人应自收到本处罚决定书之日起15日内，将罚款直接汇交国库。具体缴款方式见本处罚决定书所附说明。同时，须将注有当事人名称的付款凭证复印件送我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r>
        <w:rPr>
          <w:rFonts w:hint="eastAsia" w:ascii="仿宋_GB2312" w:hAnsi="仿宋_GB2312" w:eastAsia="仿宋_GB2312" w:cs="Times New Roman"/>
          <w:b w:val="0"/>
          <w:bCs/>
          <w:kern w:val="0"/>
          <w:sz w:val="32"/>
          <w:szCs w:val="32"/>
          <w:lang w:val="en-US" w:eastAsia="zh-CN" w:bidi="ar-SA"/>
        </w:rPr>
        <w:t>。</w:t>
      </w:r>
    </w:p>
    <w:p>
      <w:pPr>
        <w:pStyle w:val="9"/>
        <w:widowControl w:val="0"/>
        <w:overflowPunct w:val="0"/>
        <w:snapToGrid w:val="0"/>
        <w:spacing w:line="360" w:lineRule="auto"/>
        <w:rPr>
          <w:rFonts w:hint="eastAsia" w:ascii="仿宋_GB2312" w:hAnsi="仿宋_GB2312" w:eastAsia="仿宋_GB2312" w:cs="仿宋_GB2312"/>
          <w:color w:val="auto"/>
          <w:sz w:val="16"/>
          <w:szCs w:val="16"/>
        </w:rPr>
      </w:pPr>
    </w:p>
    <w:p>
      <w:pPr>
        <w:pStyle w:val="9"/>
        <w:widowControl w:val="0"/>
        <w:overflowPunct w:val="0"/>
        <w:snapToGrid w:val="0"/>
        <w:spacing w:line="360" w:lineRule="auto"/>
        <w:rPr>
          <w:rFonts w:hint="eastAsia" w:ascii="仿宋_GB2312" w:hAnsi="仿宋_GB2312" w:eastAsia="仿宋_GB2312" w:cs="仿宋_GB2312"/>
          <w:color w:val="auto"/>
          <w:sz w:val="16"/>
          <w:szCs w:val="16"/>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16"/>
          <w:szCs w:val="16"/>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eastAsia" w:ascii="仿宋_GB2312" w:eastAsia="仿宋_GB2312" w:cs="Times New Roman"/>
          <w:color w:val="000000"/>
          <w:spacing w:val="10"/>
          <w:sz w:val="32"/>
          <w:szCs w:val="32"/>
          <w:lang w:val="en-US" w:eastAsia="zh-CN"/>
        </w:rPr>
        <w:t>11</w:t>
      </w:r>
      <w:r>
        <w:rPr>
          <w:rFonts w:hint="eastAsia" w:ascii="仿宋_GB2312" w:hAnsi="Times New Roman" w:eastAsia="仿宋_GB2312" w:cs="Times New Roman"/>
          <w:color w:val="000000"/>
          <w:spacing w:val="10"/>
          <w:sz w:val="32"/>
          <w:szCs w:val="32"/>
        </w:rPr>
        <w:t>月</w:t>
      </w:r>
      <w:r>
        <w:rPr>
          <w:rFonts w:hint="default" w:ascii="仿宋_GB2312" w:cs="Times New Roman"/>
          <w:color w:val="000000"/>
          <w:spacing w:val="10"/>
          <w:sz w:val="32"/>
          <w:szCs w:val="32"/>
          <w:lang w:val="en-US" w:eastAsia="zh-CN"/>
        </w:rPr>
        <w:t>17</w:t>
      </w:r>
      <w:r>
        <w:rPr>
          <w:rFonts w:hint="eastAsia" w:ascii="仿宋_GB2312" w:hAnsi="Times New Roman" w:eastAsia="仿宋_GB2312" w:cs="Times New Roman"/>
          <w:color w:val="000000"/>
          <w:spacing w:val="10"/>
          <w:sz w:val="32"/>
          <w:szCs w:val="32"/>
        </w:rPr>
        <w:t>日</w:t>
      </w:r>
    </w:p>
    <w:p>
      <w:pPr>
        <w:snapToGrid w:val="0"/>
        <w:spacing w:line="360" w:lineRule="auto"/>
        <w:ind w:right="26"/>
        <w:jc w:val="left"/>
        <w:rPr>
          <w:rFonts w:hint="eastAsia" w:ascii="黑体" w:hAnsi="Times New Roman" w:eastAsia="黑体" w:cs="Times New Roman"/>
          <w:spacing w:val="8"/>
          <w:sz w:val="18"/>
          <w:szCs w:val="18"/>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hint="eastAsia" w:ascii="仿宋_GB2312" w:hAnsi="Times New Roman" w:eastAsia="仿宋_GB2312" w:cs="Times New Roman"/>
          <w:spacing w:val="8"/>
          <w:sz w:val="28"/>
          <w:szCs w:val="20"/>
          <w:lang w:eastAsia="zh-CN"/>
        </w:rPr>
      </w:pPr>
      <w:r>
        <w:rPr>
          <w:rFonts w:hint="eastAsia" w:ascii="仿宋_GB2312" w:hAnsi="Times New Roman" w:eastAsia="仿宋_GB2312" w:cs="Times New Roman"/>
          <w:spacing w:val="8"/>
          <w:sz w:val="28"/>
          <w:szCs w:val="20"/>
        </w:rPr>
        <w:t>抄送：</w:t>
      </w:r>
      <w:r>
        <w:rPr>
          <w:rFonts w:hint="eastAsia" w:ascii="仿宋_GB2312" w:hAnsi="Times New Roman" w:eastAsia="仿宋_GB2312" w:cs="Times New Roman"/>
          <w:spacing w:val="8"/>
          <w:sz w:val="28"/>
          <w:szCs w:val="20"/>
          <w:lang w:eastAsia="zh-CN"/>
        </w:rPr>
        <w:t>证监会上市司、稽查局、法治司、处罚委办公室</w:t>
      </w:r>
      <w:r>
        <w:rPr>
          <w:rFonts w:hint="eastAsia" w:ascii="仿宋_GB2312" w:eastAsia="仿宋_GB2312" w:cs="Times New Roman"/>
          <w:spacing w:val="8"/>
          <w:sz w:val="28"/>
          <w:szCs w:val="20"/>
          <w:lang w:val="en-US" w:eastAsia="zh-CN"/>
        </w:rPr>
        <w:t>；</w:t>
      </w: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1184" w:firstLineChars="400"/>
        <w:textAlignment w:val="auto"/>
        <w:rPr>
          <w:rFonts w:hint="eastAsia" w:ascii="仿宋_GB2312" w:hAnsi="Times New Roman" w:eastAsia="仿宋_GB2312" w:cs="Times New Roman"/>
          <w:spacing w:val="8"/>
          <w:sz w:val="28"/>
          <w:szCs w:val="20"/>
          <w:lang w:val="en-US" w:eastAsia="zh-CN"/>
        </w:rPr>
      </w:pPr>
      <w:r>
        <w:rPr>
          <w:rFonts w:hint="eastAsia" w:ascii="仿宋_GB2312" w:hAnsi="Times New Roman" w:eastAsia="仿宋_GB2312" w:cs="Times New Roman"/>
          <w:spacing w:val="8"/>
          <w:sz w:val="28"/>
          <w:szCs w:val="20"/>
          <w:lang w:eastAsia="zh-CN"/>
        </w:rPr>
        <w:t>深圳证券交易所。</w:t>
      </w:r>
    </w:p>
    <w:p>
      <w:pPr>
        <w:pBdr>
          <w:top w:val="single" w:color="auto" w:sz="4" w:space="6"/>
        </w:pBdr>
        <w:adjustRightInd w:val="0"/>
        <w:snapToGrid w:val="0"/>
        <w:spacing w:after="109" w:afterLines="35"/>
        <w:ind w:firstLine="318"/>
        <w:jc w:val="left"/>
        <w:rPr>
          <w:rFonts w:hint="eastAsia" w:ascii="仿宋_GB2312" w:hAnsi="Times New Roman" w:eastAsia="仿宋_GB2312" w:cs="Times New Roman"/>
          <w:spacing w:val="8"/>
          <w:sz w:val="28"/>
          <w:szCs w:val="20"/>
        </w:rPr>
      </w:pPr>
      <w:r>
        <w:rPr>
          <w:rFonts w:hint="eastAsia" w:ascii="仿宋_GB2312" w:hAnsi="Times New Roman" w:eastAsia="仿宋_GB2312" w:cs="Times New Roman"/>
          <w:spacing w:val="8"/>
          <w:sz w:val="28"/>
          <w:szCs w:val="20"/>
        </w:rPr>
        <w:t xml:space="preserve">广东证监局办公室        </w:t>
      </w:r>
      <w:r>
        <w:rPr>
          <w:rFonts w:hint="eastAsia"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rPr>
        <w:t xml:space="preserve">    </w:t>
      </w:r>
      <w:r>
        <w:rPr>
          <w:rFonts w:hint="default" w:ascii="仿宋_GB2312" w:hAnsi="Times New Roman" w:eastAsia="仿宋_GB2312" w:cs="Times New Roman"/>
          <w:spacing w:val="8"/>
          <w:sz w:val="28"/>
          <w:szCs w:val="20"/>
          <w:lang w:val="en-US"/>
        </w:rPr>
        <w:t xml:space="preserve"> </w:t>
      </w:r>
      <w:r>
        <w:rPr>
          <w:rFonts w:hint="eastAsia" w:ascii="仿宋_GB2312" w:hAnsi="Times New Roman" w:eastAsia="仿宋_GB2312" w:cs="Times New Roman"/>
          <w:spacing w:val="8"/>
          <w:sz w:val="28"/>
          <w:szCs w:val="20"/>
        </w:rPr>
        <w:t xml:space="preserve"> </w:t>
      </w:r>
      <w:r>
        <w:rPr>
          <w:rFonts w:hint="default" w:ascii="仿宋_GB2312" w:hAnsi="Times New Roman" w:eastAsia="仿宋_GB2312" w:cs="Times New Roman"/>
          <w:spacing w:val="8"/>
          <w:sz w:val="28"/>
          <w:szCs w:val="20"/>
          <w:lang w:val="en-US"/>
        </w:rPr>
        <w:t xml:space="preserve">   </w:t>
      </w:r>
      <w:r>
        <w:rPr>
          <w:rFonts w:hint="default" w:ascii="仿宋_GB2312" w:hAnsi="Times New Roman" w:eastAsia="仿宋_GB2312" w:cs="Times New Roman"/>
          <w:spacing w:val="8"/>
          <w:sz w:val="28"/>
          <w:szCs w:val="20"/>
          <w:lang w:val="en" w:eastAsia="zh-CN"/>
        </w:rPr>
        <w:t>202</w:t>
      </w:r>
      <w:r>
        <w:rPr>
          <w:rFonts w:hint="eastAsia" w:ascii="仿宋_GB2312" w:hAnsi="Times New Roman" w:eastAsia="仿宋_GB2312" w:cs="Times New Roman"/>
          <w:spacing w:val="8"/>
          <w:sz w:val="28"/>
          <w:szCs w:val="20"/>
          <w:lang w:val="en-US" w:eastAsia="zh-CN"/>
        </w:rPr>
        <w:t>5</w:t>
      </w:r>
      <w:r>
        <w:rPr>
          <w:rFonts w:hint="eastAsia" w:ascii="仿宋_GB2312" w:hAnsi="Times New Roman" w:eastAsia="仿宋_GB2312" w:cs="Times New Roman"/>
          <w:spacing w:val="8"/>
          <w:sz w:val="28"/>
          <w:szCs w:val="20"/>
        </w:rPr>
        <w:t>年</w:t>
      </w:r>
      <w:r>
        <w:rPr>
          <w:rFonts w:hint="eastAsia" w:ascii="仿宋_GB2312" w:hAnsi="Times New Roman" w:eastAsia="仿宋_GB2312" w:cs="Times New Roman"/>
          <w:spacing w:val="8"/>
          <w:sz w:val="28"/>
          <w:szCs w:val="20"/>
          <w:lang w:val="en-US" w:eastAsia="zh-CN"/>
        </w:rPr>
        <w:t>11</w:t>
      </w:r>
      <w:r>
        <w:rPr>
          <w:rFonts w:hint="eastAsia" w:ascii="仿宋_GB2312" w:hAnsi="Times New Roman" w:eastAsia="仿宋_GB2312" w:cs="Times New Roman"/>
          <w:spacing w:val="8"/>
          <w:sz w:val="28"/>
          <w:szCs w:val="20"/>
        </w:rPr>
        <w:t>月</w:t>
      </w:r>
      <w:r>
        <w:rPr>
          <w:rFonts w:hint="eastAsia" w:ascii="仿宋_GB2312" w:hAnsi="Times New Roman" w:eastAsia="仿宋_GB2312" w:cs="Times New Roman"/>
          <w:spacing w:val="8"/>
          <w:sz w:val="28"/>
          <w:szCs w:val="20"/>
          <w:lang w:val="en-US" w:eastAsia="zh-CN"/>
        </w:rPr>
        <w:t>1</w:t>
      </w:r>
      <w:r>
        <w:rPr>
          <w:rFonts w:hint="default" w:ascii="仿宋_GB2312" w:eastAsia="仿宋_GB2312" w:cs="Times New Roman"/>
          <w:spacing w:val="8"/>
          <w:sz w:val="28"/>
          <w:szCs w:val="20"/>
          <w:lang w:val="en-US" w:eastAsia="zh-CN"/>
        </w:rPr>
        <w:t>7</w:t>
      </w:r>
      <w:r>
        <w:rPr>
          <w:rFonts w:hint="eastAsia" w:ascii="仿宋_GB2312" w:hAnsi="Times New Roman" w:eastAsia="仿宋_GB2312" w:cs="Times New Roman"/>
          <w:spacing w:val="8"/>
          <w:sz w:val="28"/>
          <w:szCs w:val="20"/>
        </w:rPr>
        <w:t>日印发</w:t>
      </w:r>
    </w:p>
    <w:p>
      <w:pPr>
        <w:pBdr>
          <w:top w:val="single" w:color="auto" w:sz="8" w:space="7"/>
        </w:pBdr>
        <w:overflowPunct w:val="0"/>
        <w:adjustRightInd w:val="0"/>
        <w:snapToGrid w:val="0"/>
        <w:spacing w:beforeLines="0" w:after="0" w:afterLines="0"/>
        <w:ind w:firstLine="0"/>
        <w:jc w:val="left"/>
        <w:rPr>
          <w:rFonts w:hint="eastAsia" w:ascii="仿宋_GB2312" w:hAnsi="Times New Roman" w:eastAsia="仿宋_GB2312" w:cs="Times New Roman"/>
          <w:spacing w:val="8"/>
          <w:sz w:val="2"/>
          <w:szCs w:val="2"/>
        </w:rPr>
      </w:pPr>
    </w:p>
    <w:bookmarkEnd w:id="0"/>
    <w:p>
      <w:pPr>
        <w:snapToGrid w:val="0"/>
        <w:spacing w:beforeLines="0" w:afterLines="0"/>
        <w:rPr>
          <w:sz w:val="2"/>
          <w:szCs w:val="2"/>
        </w:rPr>
      </w:pPr>
    </w:p>
    <w:sectPr>
      <w:headerReference r:id="rId3" w:type="default"/>
      <w:footerReference r:id="rId4" w:type="default"/>
      <w:pgSz w:w="11906" w:h="16838"/>
      <w:pgMar w:top="2097" w:right="1474" w:bottom="1984" w:left="1587" w:header="0"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F5ADB"/>
    <w:rsid w:val="35ABB167"/>
    <w:rsid w:val="36EFB51E"/>
    <w:rsid w:val="3EFF4823"/>
    <w:rsid w:val="5CBF3384"/>
    <w:rsid w:val="62FF2B7D"/>
    <w:rsid w:val="6D7F5ADB"/>
    <w:rsid w:val="7DDE9B20"/>
    <w:rsid w:val="B6FEA6B9"/>
    <w:rsid w:val="D7B5E3A0"/>
    <w:rsid w:val="DBFFC3A2"/>
    <w:rsid w:val="DFEE9C9F"/>
    <w:rsid w:val="F575BDBD"/>
    <w:rsid w:val="F7DF65FA"/>
    <w:rsid w:val="FFD72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Times New Roman" w:hAnsi="Times New Roman" w:eastAsia="宋体" w:cs="Times New Roman"/>
      <w:snapToGrid w:val="0"/>
      <w:kern w:val="0"/>
      <w:sz w:val="32"/>
      <w:szCs w:val="32"/>
      <w:lang w:val="en-US" w:eastAsia="zh-CN" w:bidi="ar-SA"/>
    </w:rPr>
  </w:style>
  <w:style w:type="paragraph" w:styleId="3">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列出段落11"/>
    <w:qFormat/>
    <w:uiPriority w:val="34"/>
    <w:pPr>
      <w:widowControl w:val="0"/>
      <w:spacing w:line="360" w:lineRule="auto"/>
      <w:ind w:firstLine="420" w:firstLineChars="200"/>
      <w:jc w:val="both"/>
    </w:pPr>
    <w:rPr>
      <w:rFonts w:ascii="Calibri" w:hAnsi="Calibri" w:eastAsia="宋体" w:cs="Times New Roman"/>
      <w:kern w:val="2"/>
      <w:sz w:val="21"/>
      <w:szCs w:val="22"/>
      <w:lang w:val="en-US" w:eastAsia="zh-CN" w:bidi="ar-SA"/>
    </w:rPr>
  </w:style>
  <w:style w:type="paragraph" w:customStyle="1" w:styleId="9">
    <w:name w:val="p0"/>
    <w:basedOn w:val="1"/>
    <w:qFormat/>
    <w:uiPriority w:val="0"/>
    <w:pPr>
      <w:widowControl/>
    </w:pPr>
    <w:rPr>
      <w:rFonts w:hint="eastAsia"/>
    </w:rPr>
  </w:style>
  <w:style w:type="paragraph" w:customStyle="1" w:styleId="10">
    <w:name w:val=" Char Char Char Char"/>
    <w:basedOn w:val="1"/>
    <w:qFormat/>
    <w:uiPriority w:val="0"/>
    <w:pPr>
      <w:tabs>
        <w:tab w:val="left" w:pos="360"/>
      </w:tabs>
    </w:pPr>
  </w:style>
  <w:style w:type="paragraph" w:customStyle="1" w:styleId="11">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2025-11-14T09:06:00Z</dcterms:created>
  <dc:creator>蓝明宇：主办人拟稿</dc:creator>
  <cp:lastModifiedBy>蓝明宇</cp:lastModifiedBy>
  <dcterms:modified xsi:type="dcterms:W3CDTF">2025-11-18T18:26:55Z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3E3EA2D3A691B417EF491C69E964C868</vt:lpwstr>
  </property>
</Properties>
</file>