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186</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ascii="Times New Roman" w:hAnsi="Times New Roman" w:cs="Times New Roman"/>
          <w:sz w:val="28"/>
          <w:szCs w:val="28"/>
        </w:rPr>
      </w:pPr>
    </w:p>
    <w:p>
      <w:pPr>
        <w:keepNext w:val="0"/>
        <w:keepLines w:val="0"/>
        <w:pageBreakBefore w:val="0"/>
        <w:widowControl w:val="0"/>
        <w:kinsoku/>
        <w:wordWrap/>
        <w:overflowPunct/>
        <w:topLinePunct w:val="0"/>
        <w:autoSpaceDE/>
        <w:autoSpaceDN/>
        <w:adjustRightInd w:val="0"/>
        <w:snapToGrid w:val="0"/>
        <w:spacing w:before="0" w:beforeLines="0" w:after="0" w:afterLines="0" w:line="240" w:lineRule="auto"/>
        <w:ind w:left="0" w:leftChars="0" w:right="0" w:rightChars="0" w:firstLine="0" w:firstLineChars="0"/>
        <w:jc w:val="center"/>
        <w:outlineLvl w:val="0"/>
        <w:rPr>
          <w:rFonts w:hint="eastAsia" w:ascii="方正小标宋简体" w:hAnsi="方正小标宋简体" w:eastAsia="方正小标宋简体" w:cs="方正小标宋简体"/>
          <w:kern w:val="0"/>
          <w:sz w:val="44"/>
          <w:szCs w:val="44"/>
          <w:highlight w:val="none"/>
          <w:lang w:val="en"/>
        </w:rPr>
      </w:pPr>
      <w:bookmarkStart w:id="1" w:name="quanwen"/>
      <w:r>
        <w:rPr>
          <w:rFonts w:hint="eastAsia" w:ascii="方正小标宋简体" w:hAnsi="方正小标宋简体" w:eastAsia="方正小标宋简体" w:cs="方正小标宋简体"/>
          <w:kern w:val="0"/>
          <w:sz w:val="44"/>
          <w:szCs w:val="44"/>
          <w:highlight w:val="none"/>
        </w:rPr>
        <w:t>关于对</w:t>
      </w:r>
      <w:r>
        <w:rPr>
          <w:rFonts w:hint="eastAsia" w:ascii="方正小标宋简体" w:hAnsi="方正小标宋简体" w:eastAsia="方正小标宋简体" w:cs="方正小标宋简体"/>
          <w:kern w:val="0"/>
          <w:sz w:val="44"/>
          <w:szCs w:val="44"/>
          <w:highlight w:val="none"/>
          <w:lang w:val="en"/>
        </w:rPr>
        <w:t>广东越群海洋生物科技股份有限公司</w:t>
      </w:r>
    </w:p>
    <w:p>
      <w:pPr>
        <w:keepNext w:val="0"/>
        <w:keepLines w:val="0"/>
        <w:pageBreakBefore w:val="0"/>
        <w:widowControl w:val="0"/>
        <w:kinsoku/>
        <w:wordWrap/>
        <w:overflowPunct/>
        <w:topLinePunct w:val="0"/>
        <w:autoSpaceDE/>
        <w:autoSpaceDN/>
        <w:adjustRightInd w:val="0"/>
        <w:snapToGrid w:val="0"/>
        <w:spacing w:before="0" w:beforeLines="0" w:after="0" w:afterLines="0" w:line="240" w:lineRule="auto"/>
        <w:ind w:left="0" w:leftChars="0" w:right="0" w:rightChars="0" w:firstLine="0" w:firstLineChars="0"/>
        <w:jc w:val="center"/>
        <w:outlineLvl w:val="0"/>
        <w:rPr>
          <w:rFonts w:hint="eastAsia" w:ascii="方正小标宋简体" w:hAnsi="方正小标宋简体" w:eastAsia="方正小标宋简体" w:cs="方正小标宋简体"/>
          <w:kern w:val="0"/>
          <w:sz w:val="44"/>
          <w:szCs w:val="44"/>
          <w:highlight w:val="none"/>
          <w:lang w:val="en" w:eastAsia="zh-CN"/>
        </w:rPr>
      </w:pPr>
      <w:r>
        <w:rPr>
          <w:rFonts w:hint="eastAsia" w:ascii="方正小标宋简体" w:hAnsi="方正小标宋简体" w:eastAsia="方正小标宋简体" w:cs="方正小标宋简体"/>
          <w:kern w:val="0"/>
          <w:sz w:val="44"/>
          <w:szCs w:val="44"/>
          <w:highlight w:val="none"/>
          <w:lang w:val="en-US" w:eastAsia="zh-CN"/>
        </w:rPr>
        <w:t>及</w:t>
      </w:r>
      <w:r>
        <w:rPr>
          <w:rFonts w:hint="eastAsia" w:ascii="方正小标宋简体" w:hAnsi="方正小标宋简体" w:eastAsia="方正小标宋简体" w:cs="方正小标宋简体"/>
          <w:kern w:val="0"/>
          <w:sz w:val="44"/>
          <w:szCs w:val="44"/>
          <w:highlight w:val="none"/>
          <w:lang w:val="en"/>
        </w:rPr>
        <w:t>洪越群、</w:t>
      </w:r>
      <w:r>
        <w:rPr>
          <w:rFonts w:hint="eastAsia" w:ascii="方正小标宋简体" w:hAnsi="方正小标宋简体" w:eastAsia="方正小标宋简体" w:cs="方正小标宋简体"/>
          <w:kern w:val="0"/>
          <w:sz w:val="44"/>
          <w:szCs w:val="44"/>
          <w:highlight w:val="none"/>
          <w:lang w:val="en" w:eastAsia="zh-CN"/>
        </w:rPr>
        <w:t>洪宇建、</w:t>
      </w:r>
      <w:r>
        <w:rPr>
          <w:rFonts w:hint="eastAsia" w:ascii="方正小标宋简体" w:hAnsi="方正小标宋简体" w:eastAsia="方正小标宋简体" w:cs="方正小标宋简体"/>
          <w:kern w:val="0"/>
          <w:sz w:val="44"/>
          <w:szCs w:val="44"/>
          <w:highlight w:val="none"/>
          <w:lang w:val="en"/>
        </w:rPr>
        <w:t>陈锐东</w:t>
      </w:r>
      <w:r>
        <w:rPr>
          <w:rFonts w:hint="eastAsia" w:ascii="方正小标宋简体" w:hAnsi="方正小标宋简体" w:eastAsia="方正小标宋简体" w:cs="方正小标宋简体"/>
          <w:kern w:val="0"/>
          <w:sz w:val="44"/>
          <w:szCs w:val="44"/>
          <w:highlight w:val="none"/>
          <w:lang w:val="en" w:eastAsia="zh-CN"/>
        </w:rPr>
        <w:t>、余成强</w:t>
      </w:r>
    </w:p>
    <w:p>
      <w:pPr>
        <w:keepNext w:val="0"/>
        <w:keepLines w:val="0"/>
        <w:pageBreakBefore w:val="0"/>
        <w:widowControl w:val="0"/>
        <w:kinsoku/>
        <w:wordWrap/>
        <w:overflowPunct/>
        <w:topLinePunct w:val="0"/>
        <w:autoSpaceDE/>
        <w:autoSpaceDN/>
        <w:adjustRightInd w:val="0"/>
        <w:snapToGrid w:val="0"/>
        <w:spacing w:before="0" w:beforeLines="0" w:after="0" w:afterLines="0" w:line="240" w:lineRule="auto"/>
        <w:ind w:left="0" w:leftChars="0" w:right="0" w:rightChars="0" w:firstLine="0" w:firstLineChars="0"/>
        <w:jc w:val="center"/>
        <w:outlineLvl w:val="0"/>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val="en"/>
        </w:rPr>
        <w:t>采取</w:t>
      </w:r>
      <w:r>
        <w:rPr>
          <w:rFonts w:hint="default" w:ascii="方正小标宋简体" w:hAnsi="方正小标宋简体" w:eastAsia="方正小标宋简体" w:cs="方正小标宋简体"/>
          <w:kern w:val="0"/>
          <w:sz w:val="44"/>
          <w:szCs w:val="44"/>
          <w:highlight w:val="none"/>
          <w:lang w:val="en" w:eastAsia="zh-CN"/>
        </w:rPr>
        <w:t>出具警示函</w:t>
      </w:r>
      <w:r>
        <w:rPr>
          <w:rFonts w:hint="eastAsia" w:ascii="方正小标宋简体" w:hAnsi="方正小标宋简体" w:eastAsia="方正小标宋简体" w:cs="方正小标宋简体"/>
          <w:kern w:val="0"/>
          <w:sz w:val="44"/>
          <w:szCs w:val="44"/>
          <w:highlight w:val="none"/>
          <w:lang w:val="en"/>
        </w:rPr>
        <w:t>措施的</w:t>
      </w:r>
      <w:r>
        <w:rPr>
          <w:rFonts w:hint="eastAsia" w:ascii="方正小标宋简体" w:hAnsi="方正小标宋简体" w:eastAsia="方正小标宋简体" w:cs="方正小标宋简体"/>
          <w:kern w:val="0"/>
          <w:sz w:val="44"/>
          <w:szCs w:val="44"/>
          <w:highlight w:val="none"/>
        </w:rPr>
        <w:t>决定</w:t>
      </w:r>
    </w:p>
    <w:p>
      <w:pPr>
        <w:adjustRightInd w:val="0"/>
        <w:snapToGrid w:val="0"/>
        <w:spacing w:beforeLines="0" w:afterLines="0" w:line="240" w:lineRule="auto"/>
        <w:rPr>
          <w:rFonts w:hint="eastAsia" w:ascii="方正小标宋简体" w:hAnsi="方正小标宋简体" w:eastAsia="方正小标宋简体" w:cs="方正小标宋简体"/>
          <w:kern w:val="0"/>
          <w:sz w:val="32"/>
          <w:szCs w:val="32"/>
          <w:highlight w:val="none"/>
        </w:rPr>
      </w:pPr>
    </w:p>
    <w:p>
      <w:pPr>
        <w:keepNext w:val="0"/>
        <w:keepLines w:val="0"/>
        <w:pageBreakBefore w:val="0"/>
        <w:kinsoku/>
        <w:wordWrap/>
        <w:overflowPunct w:val="0"/>
        <w:topLinePunct w:val="0"/>
        <w:autoSpaceDE/>
        <w:autoSpaceDN/>
        <w:bidi w:val="0"/>
        <w:adjustRightInd w:val="0"/>
        <w:snapToGrid w:val="0"/>
        <w:spacing w:beforeLines="0" w:afterLines="0" w:line="324" w:lineRule="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lang w:val="en-US" w:eastAsia="zh-CN"/>
        </w:rPr>
        <w:t>广东越群海洋生物科技股份有限公司，洪越群、洪宇建、陈锐东、余成强</w:t>
      </w:r>
      <w:r>
        <w:rPr>
          <w:rFonts w:hint="eastAsia" w:ascii="仿宋_GB2312" w:hAnsi="仿宋_GB2312" w:eastAsia="仿宋_GB2312" w:cs="仿宋_GB2312"/>
          <w:kern w:val="0"/>
          <w:sz w:val="32"/>
          <w:szCs w:val="32"/>
          <w:highlight w:val="none"/>
          <w:lang w:eastAsia="zh-CN"/>
        </w:rPr>
        <w:t>：</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324" w:lineRule="auto"/>
        <w:ind w:firstLine="640" w:firstLineChars="200"/>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Times New Roman"/>
          <w:spacing w:val="0"/>
          <w:kern w:val="0"/>
          <w:sz w:val="32"/>
          <w:szCs w:val="24"/>
          <w:highlight w:val="none"/>
          <w:lang w:eastAsia="zh-CN"/>
        </w:rPr>
        <w:t>经查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广东越群海洋生物科技股份有限公司</w:t>
      </w:r>
      <w:r>
        <w:rPr>
          <w:rFonts w:hint="eastAsia" w:ascii="仿宋_GB2312" w:hAnsi="仿宋_GB2312" w:eastAsia="仿宋_GB2312" w:cs="仿宋_GB2312"/>
          <w:kern w:val="0"/>
          <w:sz w:val="32"/>
          <w:szCs w:val="32"/>
          <w:highlight w:val="none"/>
          <w:lang w:val="en-US" w:eastAsia="zh-CN"/>
        </w:rPr>
        <w:t>（</w:t>
      </w:r>
      <w:r>
        <w:rPr>
          <w:rFonts w:hint="eastAsia" w:ascii="仿宋_GB2312" w:hAnsi="仿宋" w:eastAsia="仿宋_GB2312" w:cs="Times New Roman"/>
          <w:color w:val="auto"/>
          <w:spacing w:val="6"/>
          <w:sz w:val="32"/>
          <w:szCs w:val="30"/>
          <w:highlight w:val="none"/>
          <w:lang w:eastAsia="zh-CN"/>
        </w:rPr>
        <w:t>以下称</w:t>
      </w:r>
      <w:r>
        <w:rPr>
          <w:rFonts w:hint="eastAsia" w:ascii="仿宋_GB2312" w:hAnsi="仿宋" w:eastAsia="仿宋_GB2312" w:cs="Times New Roman"/>
          <w:color w:val="auto"/>
          <w:spacing w:val="6"/>
          <w:sz w:val="32"/>
          <w:szCs w:val="30"/>
          <w:highlight w:val="none"/>
          <w:lang w:val="en-US" w:eastAsia="zh-CN"/>
        </w:rPr>
        <w:t>越群海洋</w:t>
      </w:r>
      <w:r>
        <w:rPr>
          <w:rFonts w:hint="eastAsia" w:ascii="仿宋_GB2312" w:hAnsi="仿宋" w:eastAsia="仿宋_GB2312" w:cs="Times New Roman"/>
          <w:color w:val="auto"/>
          <w:spacing w:val="6"/>
          <w:sz w:val="32"/>
          <w:szCs w:val="30"/>
          <w:highlight w:val="none"/>
          <w:lang w:eastAsia="zh-CN"/>
        </w:rPr>
        <w:t>或公司）</w:t>
      </w:r>
      <w:r>
        <w:rPr>
          <w:rFonts w:hint="eastAsia" w:ascii="仿宋_GB2312" w:hAnsi="仿宋_GB2312" w:eastAsia="仿宋_GB2312" w:cs="仿宋_GB2312"/>
          <w:kern w:val="0"/>
          <w:sz w:val="32"/>
          <w:szCs w:val="32"/>
          <w:highlight w:val="none"/>
          <w:lang w:eastAsia="zh-CN"/>
        </w:rPr>
        <w:t>存在以下问题：</w:t>
      </w:r>
    </w:p>
    <w:p>
      <w:pPr>
        <w:overflowPunct w:val="0"/>
        <w:snapToGrid w:val="0"/>
        <w:spacing w:beforeLines="0" w:afterLines="0" w:line="324" w:lineRule="auto"/>
        <w:ind w:firstLine="640" w:firstLineChars="200"/>
        <w:rPr>
          <w:rFonts w:hint="eastAsia" w:ascii="黑体" w:hAnsi="黑体" w:eastAsia="黑体" w:cs="黑体"/>
          <w:b w:val="0"/>
          <w:bCs w:val="0"/>
          <w:snapToGrid w:val="0"/>
          <w:color w:val="auto"/>
          <w:kern w:val="0"/>
          <w:sz w:val="32"/>
          <w:szCs w:val="32"/>
          <w:highlight w:val="none"/>
          <w:lang w:eastAsia="zh-CN"/>
        </w:rPr>
      </w:pPr>
      <w:r>
        <w:rPr>
          <w:rFonts w:hint="eastAsia" w:ascii="黑体" w:hAnsi="黑体" w:eastAsia="黑体" w:cs="黑体"/>
          <w:b w:val="0"/>
          <w:bCs w:val="0"/>
          <w:snapToGrid w:val="0"/>
          <w:color w:val="auto"/>
          <w:kern w:val="0"/>
          <w:sz w:val="32"/>
          <w:szCs w:val="32"/>
          <w:highlight w:val="none"/>
          <w:lang w:val="en-US" w:eastAsia="zh-CN"/>
        </w:rPr>
        <w:t>一、内控执行不到位</w:t>
      </w:r>
    </w:p>
    <w:p>
      <w:pPr>
        <w:keepNext w:val="0"/>
        <w:keepLines w:val="0"/>
        <w:pageBreakBefore w:val="0"/>
        <w:kinsoku/>
        <w:wordWrap/>
        <w:overflowPunct w:val="0"/>
        <w:topLinePunct w:val="0"/>
        <w:autoSpaceDE/>
        <w:autoSpaceDN/>
        <w:bidi w:val="0"/>
        <w:adjustRightInd/>
        <w:snapToGrid w:val="0"/>
        <w:spacing w:beforeLines="0" w:afterLines="0" w:line="324" w:lineRule="auto"/>
        <w:ind w:firstLine="642" w:firstLineChars="200"/>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sz w:val="32"/>
          <w:szCs w:val="32"/>
        </w:rPr>
        <w:t>销售循环内控</w:t>
      </w:r>
      <w:r>
        <w:rPr>
          <w:rFonts w:hint="eastAsia" w:ascii="仿宋_GB2312" w:hAnsi="仿宋_GB2312" w:eastAsia="仿宋_GB2312" w:cs="仿宋_GB2312"/>
          <w:b/>
          <w:bCs/>
          <w:sz w:val="32"/>
          <w:szCs w:val="32"/>
          <w:lang w:eastAsia="zh-CN"/>
        </w:rPr>
        <w:t>不到位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公司销售部门每月末根据当月送货单制作销售出库单交客户签章后进行收入确认。</w:t>
      </w:r>
      <w:r>
        <w:rPr>
          <w:rFonts w:hint="eastAsia" w:ascii="仿宋_GB2312" w:hAnsi="仿宋_GB2312" w:eastAsia="仿宋_GB2312" w:cs="仿宋_GB2312"/>
          <w:sz w:val="32"/>
          <w:szCs w:val="32"/>
        </w:rPr>
        <w:t>销售出库单与货物实际流转情况严重脱节</w:t>
      </w:r>
      <w:r>
        <w:rPr>
          <w:rFonts w:hint="eastAsia" w:ascii="仿宋_GB2312" w:hAnsi="仿宋_GB2312" w:eastAsia="仿宋_GB2312" w:cs="仿宋_GB2312"/>
          <w:sz w:val="32"/>
          <w:szCs w:val="32"/>
          <w:lang w:eastAsia="zh-CN"/>
        </w:rPr>
        <w:t>，其客户签章时间无法</w:t>
      </w:r>
      <w:r>
        <w:rPr>
          <w:rFonts w:hint="eastAsia" w:ascii="仿宋_GB2312" w:hAnsi="仿宋_GB2312" w:eastAsia="仿宋_GB2312" w:cs="仿宋_GB2312"/>
          <w:sz w:val="32"/>
          <w:szCs w:val="32"/>
        </w:rPr>
        <w:t>真实反映客户收货验货</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color w:val="auto"/>
          <w:sz w:val="32"/>
          <w:szCs w:val="32"/>
        </w:rPr>
        <w:t>未保</w:t>
      </w:r>
      <w:r>
        <w:rPr>
          <w:rFonts w:hint="eastAsia" w:ascii="仿宋_GB2312" w:hAnsi="仿宋_GB2312" w:eastAsia="仿宋_GB2312" w:cs="仿宋_GB2312"/>
          <w:color w:val="auto"/>
          <w:sz w:val="32"/>
          <w:szCs w:val="32"/>
          <w:lang w:eastAsia="zh-CN"/>
        </w:rPr>
        <w:t>留能够真实</w:t>
      </w:r>
      <w:r>
        <w:rPr>
          <w:rFonts w:hint="eastAsia" w:ascii="仿宋_GB2312" w:hAnsi="仿宋_GB2312" w:eastAsia="仿宋_GB2312" w:cs="仿宋_GB2312"/>
          <w:color w:val="auto"/>
          <w:sz w:val="32"/>
          <w:szCs w:val="32"/>
        </w:rPr>
        <w:t>反映发货情况的送货单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提货单</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关键单据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也未将其</w:t>
      </w:r>
      <w:r>
        <w:rPr>
          <w:rFonts w:hint="eastAsia" w:ascii="仿宋_GB2312" w:hAnsi="仿宋_GB2312" w:eastAsia="仿宋_GB2312" w:cs="仿宋_GB2312"/>
          <w:sz w:val="32"/>
          <w:szCs w:val="32"/>
        </w:rPr>
        <w:t>作为确认收入的</w:t>
      </w:r>
      <w:r>
        <w:rPr>
          <w:rFonts w:hint="eastAsia" w:ascii="仿宋_GB2312" w:hAnsi="仿宋_GB2312" w:eastAsia="仿宋_GB2312" w:cs="仿宋_GB2312"/>
          <w:sz w:val="32"/>
          <w:szCs w:val="32"/>
          <w:lang w:eastAsia="zh-CN"/>
        </w:rPr>
        <w:t>关键</w:t>
      </w:r>
      <w:r>
        <w:rPr>
          <w:rFonts w:hint="eastAsia" w:ascii="仿宋_GB2312" w:hAnsi="仿宋_GB2312" w:eastAsia="仿宋_GB2312" w:cs="仿宋_GB2312"/>
          <w:sz w:val="32"/>
          <w:szCs w:val="32"/>
        </w:rPr>
        <w:t>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2024年9</w:t>
      </w:r>
      <w:r>
        <w:rPr>
          <w:rFonts w:hint="eastAsia" w:ascii="仿宋_GB2312" w:hAnsi="仿宋_GB2312" w:eastAsia="仿宋_GB2312" w:cs="仿宋_GB2312"/>
          <w:sz w:val="32"/>
          <w:szCs w:val="32"/>
          <w:lang w:eastAsia="zh-CN"/>
        </w:rPr>
        <w:t>月至</w:t>
      </w:r>
      <w:r>
        <w:rPr>
          <w:rFonts w:hint="eastAsia" w:ascii="仿宋_GB2312" w:hAnsi="仿宋_GB2312" w:eastAsia="仿宋_GB2312" w:cs="仿宋_GB2312"/>
          <w:sz w:val="32"/>
          <w:szCs w:val="32"/>
        </w:rPr>
        <w:t>10月</w:t>
      </w:r>
      <w:r>
        <w:rPr>
          <w:rFonts w:hint="eastAsia" w:ascii="仿宋_GB2312" w:hAnsi="仿宋_GB2312" w:eastAsia="仿宋_GB2312" w:cs="仿宋_GB2312"/>
          <w:sz w:val="32"/>
          <w:szCs w:val="32"/>
          <w:lang w:eastAsia="zh-CN"/>
        </w:rPr>
        <w:t>部分货物</w:t>
      </w:r>
      <w:r>
        <w:rPr>
          <w:rFonts w:hint="eastAsia" w:ascii="仿宋_GB2312" w:hAnsi="仿宋_GB2312" w:eastAsia="仿宋_GB2312" w:cs="仿宋_GB2312"/>
          <w:sz w:val="32"/>
          <w:szCs w:val="32"/>
        </w:rPr>
        <w:t>销售</w:t>
      </w:r>
      <w:r>
        <w:rPr>
          <w:rFonts w:hint="eastAsia" w:ascii="仿宋_GB2312" w:hAnsi="仿宋_GB2312" w:eastAsia="仿宋_GB2312" w:cs="仿宋_GB2312"/>
          <w:sz w:val="32"/>
          <w:szCs w:val="32"/>
          <w:lang w:eastAsia="zh-CN"/>
        </w:rPr>
        <w:t>存在客户先在</w:t>
      </w:r>
      <w:r>
        <w:rPr>
          <w:rFonts w:hint="eastAsia" w:ascii="仿宋_GB2312" w:hAnsi="仿宋_GB2312" w:eastAsia="仿宋_GB2312" w:cs="仿宋_GB2312"/>
          <w:sz w:val="32"/>
          <w:szCs w:val="32"/>
        </w:rPr>
        <w:t>销售出库单签</w:t>
      </w:r>
      <w:r>
        <w:rPr>
          <w:rFonts w:hint="eastAsia" w:ascii="仿宋_GB2312" w:hAnsi="仿宋_GB2312" w:eastAsia="仿宋_GB2312" w:cs="仿宋_GB2312"/>
          <w:sz w:val="32"/>
          <w:szCs w:val="32"/>
          <w:lang w:eastAsia="zh-CN"/>
        </w:rPr>
        <w:t>章、后实际收货的情形</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研发活动内控</w:t>
      </w:r>
      <w:r>
        <w:rPr>
          <w:rFonts w:hint="eastAsia" w:ascii="仿宋_GB2312" w:hAnsi="仿宋_GB2312" w:eastAsia="仿宋_GB2312" w:cs="仿宋_GB2312"/>
          <w:b/>
          <w:bCs/>
          <w:sz w:val="32"/>
          <w:szCs w:val="32"/>
          <w:lang w:eastAsia="zh-CN"/>
        </w:rPr>
        <w:t>不规范</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年至</w:t>
      </w:r>
      <w:r>
        <w:rPr>
          <w:rFonts w:hint="eastAsia" w:ascii="仿宋_GB2312" w:hAnsi="仿宋_GB2312" w:eastAsia="仿宋_GB2312" w:cs="仿宋_GB2312"/>
          <w:sz w:val="32"/>
          <w:szCs w:val="32"/>
        </w:rPr>
        <w:t>2023年期间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多个研发项目立项书审批表</w:t>
      </w:r>
      <w:r>
        <w:rPr>
          <w:rFonts w:hint="eastAsia" w:ascii="仿宋_GB2312" w:hAnsi="仿宋_GB2312" w:eastAsia="仿宋_GB2312" w:cs="仿宋_GB2312"/>
          <w:sz w:val="32"/>
          <w:szCs w:val="32"/>
          <w:lang w:eastAsia="zh-CN"/>
        </w:rPr>
        <w:t>存在项目</w:t>
      </w:r>
      <w:r>
        <w:rPr>
          <w:rFonts w:hint="eastAsia" w:ascii="仿宋_GB2312" w:hAnsi="仿宋_GB2312" w:eastAsia="仿宋_GB2312" w:cs="仿宋_GB2312"/>
          <w:sz w:val="32"/>
          <w:szCs w:val="32"/>
        </w:rPr>
        <w:t>负责人代总经理和财务负责人签名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不规范</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未区分研发专职和非专职人员，部分非专职</w:t>
      </w:r>
      <w:r>
        <w:rPr>
          <w:rFonts w:hint="eastAsia" w:ascii="仿宋_GB2312" w:hAnsi="仿宋_GB2312" w:eastAsia="仿宋_GB2312" w:cs="仿宋_GB2312"/>
          <w:sz w:val="32"/>
          <w:szCs w:val="32"/>
          <w:lang w:eastAsia="zh-CN"/>
        </w:rPr>
        <w:t>研发</w:t>
      </w:r>
      <w:r>
        <w:rPr>
          <w:rFonts w:hint="eastAsia" w:ascii="仿宋_GB2312" w:hAnsi="仿宋_GB2312" w:eastAsia="仿宋_GB2312" w:cs="仿宋_GB2312"/>
          <w:sz w:val="32"/>
          <w:szCs w:val="32"/>
        </w:rPr>
        <w:t>人员工资全部计入研发费用</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2名除研发外</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还</w:t>
      </w:r>
      <w:r>
        <w:rPr>
          <w:rFonts w:hint="eastAsia" w:ascii="仿宋_GB2312" w:hAnsi="仿宋_GB2312" w:eastAsia="仿宋_GB2312" w:cs="仿宋_GB2312"/>
          <w:sz w:val="32"/>
          <w:szCs w:val="32"/>
        </w:rPr>
        <w:t>负责原材料质检入库工作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员工，其2023年工资全额计入研发费用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存在将与研发活动无关费用计入研发费用的情形</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员工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某商管</w:t>
      </w:r>
      <w:r>
        <w:rPr>
          <w:rFonts w:hint="eastAsia" w:ascii="仿宋_GB2312" w:hAnsi="仿宋_GB2312" w:eastAsia="仿宋_GB2312" w:cs="仿宋_GB2312"/>
          <w:sz w:val="32"/>
          <w:szCs w:val="32"/>
        </w:rPr>
        <w:t>研修班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差旅费全额计入研发费用。</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lang w:val="en-US" w:eastAsia="zh-CN"/>
        </w:rPr>
        <w:t>其他内控不规范问题</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岗位设置存在不合理情形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如财务部1名员工所任职务为审计。2021-2023年期间存在付款审批不完整的情形，个别付款审批单未</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总经理或财务总监签名。部分销售合同和对外担保合同无用印记录，个别用印审批表无部门负责人签章。</w:t>
      </w:r>
      <w:r>
        <w:rPr>
          <w:rFonts w:hint="eastAsia" w:ascii="仿宋_GB2312" w:hAnsi="Calibri" w:eastAsia="仿宋_GB2312" w:cs="Times New Roman"/>
          <w:b w:val="0"/>
          <w:bCs w:val="0"/>
          <w:snapToGrid w:val="0"/>
          <w:color w:val="auto"/>
          <w:kern w:val="0"/>
          <w:sz w:val="32"/>
          <w:szCs w:val="32"/>
          <w:highlight w:val="none"/>
          <w:lang w:val="en-US" w:eastAsia="zh-CN"/>
        </w:rPr>
        <w:t>以上情形不符合《企业内部控制应用指引第1号——组织架构》第七条第二款、《企业内部控制应用指引第6号——资金活动》第四条第一款、《企业内部控制应用指引第9号——销售业务》第四条和第八条、《企业内部控制应用指引第10号——研究与开发》第六条、《财政部关于企业加强研发费用财务管理的若干意见》（财企〔2007〕194号）第二条的要求，违反了《非上市公众公司监督管理办法》（证监会令第212号）第十二条的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24" w:lineRule="auto"/>
        <w:ind w:lef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二、关联方违规占用资金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24" w:lineRule="auto"/>
        <w:ind w:lef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2024年12月，公司为实际控制人之一洪越群代缴股改个人所得税381.84万元，构成关联方非经营性资金占用，相关资金于2025年内归还。上述资金占用情形</w:t>
      </w:r>
      <w:r>
        <w:rPr>
          <w:rFonts w:hint="eastAsia" w:ascii="仿宋_GB2312" w:hAnsi="Calibri" w:eastAsia="仿宋_GB2312" w:cs="Times New Roman"/>
          <w:b w:val="0"/>
          <w:bCs w:val="0"/>
          <w:snapToGrid w:val="0"/>
          <w:color w:val="auto"/>
          <w:kern w:val="0"/>
          <w:sz w:val="32"/>
          <w:szCs w:val="32"/>
          <w:highlight w:val="none"/>
          <w:lang w:val="en-US" w:eastAsia="zh-CN"/>
        </w:rPr>
        <w:t>违反了《非上市公众公司监督管理办法》（证监会令第212号）第十四条第一款、第二款的规定。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24" w:lineRule="auto"/>
        <w:ind w:leftChars="0" w:firstLine="640" w:firstLineChars="200"/>
        <w:textAlignment w:val="auto"/>
        <w:outlineLvl w:val="9"/>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z w:val="32"/>
          <w:szCs w:val="32"/>
          <w:highlight w:val="none"/>
          <w:lang w:val="en-US" w:eastAsia="zh-CN"/>
        </w:rPr>
        <w:t>三、信息披露不规范</w:t>
      </w:r>
    </w:p>
    <w:p>
      <w:pPr>
        <w:overflowPunct w:val="0"/>
        <w:snapToGrid w:val="0"/>
        <w:spacing w:beforeLines="0" w:afterLines="0" w:line="324" w:lineRule="auto"/>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关联方披露不完整。广东臻媛水产实业有限公司（以下称臻媛水产）原为公司控股的子公司，</w:t>
      </w:r>
      <w:r>
        <w:rPr>
          <w:rFonts w:hint="eastAsia" w:ascii="仿宋_GB2312" w:hAnsi="仿宋_GB2312" w:eastAsia="仿宋_GB2312" w:cs="仿宋_GB2312"/>
          <w:sz w:val="32"/>
          <w:szCs w:val="32"/>
          <w:lang w:eastAsia="zh-CN"/>
        </w:rPr>
        <w:t>公司已于</w:t>
      </w:r>
      <w:r>
        <w:rPr>
          <w:rFonts w:hint="eastAsia" w:ascii="仿宋_GB2312" w:hAnsi="仿宋_GB2312" w:eastAsia="仿宋_GB2312" w:cs="仿宋_GB2312"/>
          <w:sz w:val="32"/>
          <w:szCs w:val="32"/>
        </w:rPr>
        <w:t>2016年9月将</w:t>
      </w:r>
      <w:r>
        <w:rPr>
          <w:rFonts w:hint="eastAsia" w:ascii="仿宋_GB2312" w:hAnsi="仿宋_GB2312" w:eastAsia="仿宋_GB2312" w:cs="仿宋_GB2312"/>
          <w:sz w:val="32"/>
          <w:szCs w:val="32"/>
          <w:lang w:eastAsia="zh-CN"/>
        </w:rPr>
        <w:t>持有的</w:t>
      </w:r>
      <w:r>
        <w:rPr>
          <w:rFonts w:hint="eastAsia" w:ascii="仿宋_GB2312" w:hAnsi="仿宋_GB2312" w:eastAsia="仿宋_GB2312" w:cs="仿宋_GB2312"/>
          <w:sz w:val="32"/>
          <w:szCs w:val="32"/>
        </w:rPr>
        <w:t>该公司股权转让给第三方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2024年4月，臻媛水产为公司控股股东2700万元借款提供连带责任担保，担保合同</w:t>
      </w:r>
      <w:r>
        <w:rPr>
          <w:rFonts w:hint="eastAsia" w:ascii="仿宋_GB2312" w:hAnsi="仿宋_GB2312" w:eastAsia="仿宋_GB2312" w:cs="仿宋_GB2312"/>
          <w:sz w:val="32"/>
          <w:szCs w:val="32"/>
          <w:lang w:eastAsia="zh-CN"/>
        </w:rPr>
        <w:t>显示臻媛水产</w:t>
      </w:r>
      <w:r>
        <w:rPr>
          <w:rFonts w:hint="eastAsia" w:ascii="仿宋_GB2312" w:hAnsi="仿宋_GB2312" w:eastAsia="仿宋_GB2312" w:cs="仿宋_GB2312"/>
          <w:sz w:val="32"/>
          <w:szCs w:val="32"/>
        </w:rPr>
        <w:t>联系人为</w:t>
      </w:r>
      <w:r>
        <w:rPr>
          <w:rFonts w:hint="eastAsia" w:ascii="仿宋_GB2312" w:hAnsi="仿宋_GB2312" w:eastAsia="仿宋_GB2312" w:cs="仿宋_GB2312"/>
          <w:sz w:val="32"/>
          <w:szCs w:val="32"/>
          <w:lang w:eastAsia="zh-CN"/>
        </w:rPr>
        <w:t>越群海洋</w:t>
      </w:r>
      <w:r>
        <w:rPr>
          <w:rFonts w:hint="eastAsia" w:ascii="仿宋_GB2312" w:hAnsi="仿宋_GB2312" w:eastAsia="仿宋_GB2312" w:cs="仿宋_GB2312"/>
          <w:sz w:val="32"/>
          <w:szCs w:val="32"/>
        </w:rPr>
        <w:t>财务负责人，联系电话为</w:t>
      </w:r>
      <w:r>
        <w:rPr>
          <w:rFonts w:hint="eastAsia" w:ascii="仿宋_GB2312" w:hAnsi="仿宋_GB2312" w:eastAsia="仿宋_GB2312" w:cs="仿宋_GB2312"/>
          <w:sz w:val="32"/>
          <w:szCs w:val="32"/>
          <w:lang w:eastAsia="zh-CN"/>
        </w:rPr>
        <w:t>越群海洋</w:t>
      </w:r>
      <w:r>
        <w:rPr>
          <w:rFonts w:hint="eastAsia" w:ascii="仿宋_GB2312" w:hAnsi="仿宋_GB2312" w:eastAsia="仿宋_GB2312" w:cs="仿宋_GB2312"/>
          <w:sz w:val="32"/>
          <w:szCs w:val="32"/>
        </w:rPr>
        <w:t>客服电话，报税人员为</w:t>
      </w:r>
      <w:r>
        <w:rPr>
          <w:rFonts w:hint="eastAsia" w:ascii="仿宋_GB2312" w:hAnsi="仿宋_GB2312" w:eastAsia="仿宋_GB2312" w:cs="仿宋_GB2312"/>
          <w:sz w:val="32"/>
          <w:szCs w:val="32"/>
          <w:lang w:eastAsia="zh-CN"/>
        </w:rPr>
        <w:t>越群海洋</w:t>
      </w:r>
      <w:r>
        <w:rPr>
          <w:rFonts w:hint="eastAsia" w:ascii="仿宋_GB2312" w:hAnsi="仿宋_GB2312" w:eastAsia="仿宋_GB2312" w:cs="仿宋_GB2312"/>
          <w:sz w:val="32"/>
          <w:szCs w:val="32"/>
        </w:rPr>
        <w:t>会计，公司及主办券商</w:t>
      </w:r>
      <w:r>
        <w:rPr>
          <w:rFonts w:hint="eastAsia" w:ascii="仿宋_GB2312" w:hAnsi="仿宋_GB2312" w:eastAsia="仿宋_GB2312" w:cs="仿宋_GB2312"/>
          <w:sz w:val="32"/>
          <w:szCs w:val="32"/>
          <w:lang w:eastAsia="zh-CN"/>
        </w:rPr>
        <w:t>确认</w:t>
      </w:r>
      <w:r>
        <w:rPr>
          <w:rFonts w:hint="eastAsia" w:ascii="仿宋_GB2312" w:hAnsi="仿宋_GB2312" w:eastAsia="仿宋_GB2312" w:cs="仿宋_GB2312"/>
          <w:sz w:val="32"/>
          <w:szCs w:val="32"/>
        </w:rPr>
        <w:t>臻媛水产与公司及实控人关系密切，</w:t>
      </w:r>
      <w:r>
        <w:rPr>
          <w:rFonts w:hint="eastAsia" w:ascii="仿宋_GB2312" w:hAnsi="仿宋_GB2312" w:eastAsia="仿宋_GB2312" w:cs="仿宋_GB2312"/>
          <w:sz w:val="32"/>
          <w:szCs w:val="32"/>
          <w:lang w:eastAsia="zh-CN"/>
        </w:rPr>
        <w:t>但公司未按照相关规定根据“</w:t>
      </w:r>
      <w:r>
        <w:rPr>
          <w:rFonts w:hint="eastAsia" w:ascii="仿宋_GB2312" w:hAnsi="仿宋_GB2312" w:eastAsia="仿宋_GB2312" w:cs="仿宋_GB2312"/>
          <w:sz w:val="32"/>
          <w:szCs w:val="32"/>
        </w:rPr>
        <w:t>实质重于形式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该公司认定为关联方</w:t>
      </w:r>
      <w:r>
        <w:rPr>
          <w:rFonts w:hint="eastAsia" w:ascii="仿宋_GB2312" w:hAnsi="仿宋_GB2312" w:eastAsia="仿宋_GB2312" w:cs="仿宋_GB2312"/>
          <w:sz w:val="32"/>
          <w:szCs w:val="32"/>
          <w:lang w:eastAsia="zh-CN"/>
        </w:rPr>
        <w:t>并在</w:t>
      </w:r>
      <w:r>
        <w:rPr>
          <w:rFonts w:hint="eastAsia" w:ascii="仿宋_GB2312" w:hAnsi="仿宋_GB2312" w:eastAsia="仿宋_GB2312" w:cs="仿宋_GB2312"/>
          <w:sz w:val="32"/>
          <w:szCs w:val="32"/>
        </w:rPr>
        <w:t>2023年年报</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披露。</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研发人员数量披露不准确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2023年年报披露研发人员23人，但研发人员明细表</w:t>
      </w:r>
      <w:r>
        <w:rPr>
          <w:rFonts w:hint="eastAsia" w:ascii="仿宋_GB2312" w:hAnsi="仿宋_GB2312" w:eastAsia="仿宋_GB2312" w:cs="仿宋_GB2312"/>
          <w:sz w:val="32"/>
          <w:szCs w:val="32"/>
          <w:lang w:eastAsia="zh-CN"/>
        </w:rPr>
        <w:t>记载</w:t>
      </w:r>
      <w:r>
        <w:rPr>
          <w:rFonts w:hint="eastAsia" w:ascii="仿宋_GB2312" w:hAnsi="仿宋_GB2312" w:eastAsia="仿宋_GB2312" w:cs="仿宋_GB2312"/>
          <w:sz w:val="32"/>
          <w:szCs w:val="32"/>
        </w:rPr>
        <w:t>2023年末</w:t>
      </w:r>
      <w:r>
        <w:rPr>
          <w:rFonts w:hint="eastAsia" w:ascii="仿宋_GB2312" w:hAnsi="仿宋_GB2312" w:eastAsia="仿宋_GB2312" w:cs="仿宋_GB2312"/>
          <w:sz w:val="32"/>
          <w:szCs w:val="32"/>
          <w:lang w:eastAsia="zh-CN"/>
        </w:rPr>
        <w:t>实有</w:t>
      </w:r>
      <w:r>
        <w:rPr>
          <w:rFonts w:hint="eastAsia" w:ascii="仿宋_GB2312" w:hAnsi="仿宋_GB2312" w:eastAsia="仿宋_GB2312" w:cs="仿宋_GB2312"/>
          <w:sz w:val="32"/>
          <w:szCs w:val="32"/>
        </w:rPr>
        <w:t>30人。</w:t>
      </w:r>
      <w:r>
        <w:rPr>
          <w:rFonts w:hint="eastAsia" w:ascii="仿宋_GB2312" w:hAnsi="仿宋_GB2312" w:eastAsia="仿宋_GB2312" w:cs="仿宋_GB2312"/>
          <w:sz w:val="32"/>
          <w:szCs w:val="32"/>
          <w:highlight w:val="none"/>
        </w:rPr>
        <w:t>上述情形</w:t>
      </w:r>
      <w:r>
        <w:rPr>
          <w:rFonts w:hint="eastAsia" w:ascii="仿宋_GB2312" w:hAnsi="仿宋_GB2312" w:eastAsia="仿宋_GB2312" w:cs="仿宋_GB2312"/>
          <w:sz w:val="32"/>
          <w:szCs w:val="32"/>
          <w:highlight w:val="none"/>
          <w:lang w:eastAsia="zh-CN"/>
        </w:rPr>
        <w:t>违反了</w:t>
      </w:r>
      <w:r>
        <w:rPr>
          <w:rFonts w:hint="eastAsia" w:ascii="仿宋_GB2312" w:hAnsi="仿宋_GB2312" w:eastAsia="仿宋_GB2312" w:cs="仿宋_GB2312"/>
          <w:sz w:val="32"/>
          <w:szCs w:val="32"/>
          <w:highlight w:val="none"/>
        </w:rPr>
        <w:t>《非上市公众公司监督管理办法》(证监会令第212号)第</w:t>
      </w:r>
      <w:r>
        <w:rPr>
          <w:rFonts w:hint="eastAsia" w:ascii="仿宋_GB2312" w:hAnsi="仿宋_GB2312" w:eastAsia="仿宋_GB2312" w:cs="仿宋_GB2312"/>
          <w:sz w:val="32"/>
          <w:szCs w:val="32"/>
          <w:highlight w:val="none"/>
          <w:lang w:eastAsia="zh-CN"/>
        </w:rPr>
        <w:t>二十一</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rPr>
        <w:t>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left="0" w:leftChars="0" w:firstLine="640" w:firstLineChars="200"/>
        <w:jc w:val="both"/>
        <w:textAlignment w:val="baseline"/>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Times New Roman"/>
          <w:b w:val="0"/>
          <w:bCs w:val="0"/>
          <w:color w:val="000000"/>
          <w:spacing w:val="0"/>
          <w:kern w:val="0"/>
          <w:sz w:val="32"/>
          <w:szCs w:val="24"/>
          <w:highlight w:val="none"/>
          <w:lang w:val="en-US" w:eastAsia="zh-CN" w:bidi="ar-SA"/>
        </w:rPr>
        <w:t>越群海洋时任董事长洪越群、时任总经理洪宇建、时任</w:t>
      </w:r>
      <w:r>
        <w:rPr>
          <w:rFonts w:hint="eastAsia" w:ascii="仿宋_GB2312" w:hAnsi="Times New Roman" w:eastAsia="仿宋_GB2312" w:cs="Times New Roman"/>
          <w:b w:val="0"/>
          <w:bCs w:val="0"/>
          <w:snapToGrid w:val="0"/>
          <w:color w:val="auto"/>
          <w:kern w:val="0"/>
          <w:sz w:val="32"/>
          <w:szCs w:val="32"/>
          <w:highlight w:val="none"/>
          <w:lang w:val="en-US" w:eastAsia="zh-CN" w:bidi="ar-SA"/>
        </w:rPr>
        <w:t>董事会秘书</w:t>
      </w:r>
      <w:r>
        <w:rPr>
          <w:rFonts w:hint="eastAsia" w:ascii="仿宋_GB2312" w:hAnsi="仿宋_GB2312" w:eastAsia="仿宋_GB2312" w:cs="Times New Roman"/>
          <w:b w:val="0"/>
          <w:bCs w:val="0"/>
          <w:color w:val="000000"/>
          <w:spacing w:val="0"/>
          <w:kern w:val="0"/>
          <w:sz w:val="32"/>
          <w:szCs w:val="24"/>
          <w:highlight w:val="none"/>
          <w:lang w:val="en-US" w:eastAsia="zh-CN" w:bidi="ar-SA"/>
        </w:rPr>
        <w:t>陈锐东、时任财务负责人余成强，未按照《</w:t>
      </w:r>
      <w:r>
        <w:rPr>
          <w:rFonts w:hint="eastAsia" w:ascii="仿宋_GB2312" w:hAnsi="仿宋_GB2312" w:eastAsia="仿宋_GB2312" w:cs="Times New Roman"/>
          <w:color w:val="000000"/>
          <w:kern w:val="0"/>
          <w:sz w:val="32"/>
          <w:szCs w:val="24"/>
          <w:highlight w:val="none"/>
          <w:lang w:val="en-US" w:eastAsia="zh-CN" w:bidi="ar-SA"/>
        </w:rPr>
        <w:t>非上市公众公司监督管理办法</w:t>
      </w:r>
      <w:r>
        <w:rPr>
          <w:rFonts w:hint="eastAsia" w:ascii="仿宋_GB2312" w:hAnsi="仿宋_GB2312" w:eastAsia="仿宋_GB2312" w:cs="Times New Roman"/>
          <w:b w:val="0"/>
          <w:bCs w:val="0"/>
          <w:color w:val="000000"/>
          <w:spacing w:val="0"/>
          <w:kern w:val="0"/>
          <w:sz w:val="32"/>
          <w:szCs w:val="24"/>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（证监会令</w:t>
      </w:r>
      <w:r>
        <w:rPr>
          <w:rFonts w:hint="eastAsia" w:ascii="仿宋_GB2312" w:hAnsi="仿宋_GB2312" w:eastAsia="仿宋_GB2312" w:cs="Times New Roman"/>
          <w:color w:val="000000"/>
          <w:kern w:val="0"/>
          <w:sz w:val="32"/>
          <w:szCs w:val="32"/>
          <w:highlight w:val="none"/>
          <w:lang w:val="en-US" w:eastAsia="zh-CN" w:bidi="ar-SA"/>
        </w:rPr>
        <w:t>第212号</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Times New Roman"/>
          <w:b w:val="0"/>
          <w:bCs w:val="0"/>
          <w:color w:val="000000"/>
          <w:spacing w:val="0"/>
          <w:kern w:val="0"/>
          <w:sz w:val="32"/>
          <w:szCs w:val="24"/>
          <w:highlight w:val="none"/>
          <w:lang w:val="en-US" w:eastAsia="zh-CN" w:bidi="ar-SA"/>
        </w:rPr>
        <w:t>第二十一条第二款、</w:t>
      </w:r>
      <w:r>
        <w:rPr>
          <w:rFonts w:hint="eastAsia" w:ascii="仿宋_GB2312" w:hAnsi="仿宋_GB2312" w:eastAsia="仿宋_GB2312" w:cs="Times New Roman"/>
          <w:b w:val="0"/>
          <w:bCs w:val="0"/>
          <w:color w:val="000000"/>
          <w:spacing w:val="0"/>
          <w:kern w:val="2"/>
          <w:sz w:val="32"/>
          <w:szCs w:val="32"/>
          <w:highlight w:val="none"/>
          <w:lang w:val="en-US" w:eastAsia="zh-CN" w:bidi="ar-SA"/>
        </w:rPr>
        <w:t>《</w:t>
      </w:r>
      <w:r>
        <w:rPr>
          <w:rFonts w:hint="eastAsia" w:ascii="仿宋_GB2312" w:hAnsi="仿宋_GB2312" w:eastAsia="仿宋_GB2312" w:cs="Times New Roman"/>
          <w:color w:val="000000"/>
          <w:spacing w:val="0"/>
          <w:kern w:val="0"/>
          <w:sz w:val="32"/>
          <w:szCs w:val="32"/>
          <w:highlight w:val="none"/>
          <w:lang w:val="en-US" w:eastAsia="zh-CN" w:bidi="ar-SA"/>
        </w:rPr>
        <w:t>非上市公众公司</w:t>
      </w:r>
      <w:r>
        <w:rPr>
          <w:rFonts w:hint="eastAsia" w:ascii="仿宋_GB2312" w:hAnsi="仿宋_GB2312" w:eastAsia="仿宋_GB2312" w:cs="Times New Roman"/>
          <w:b w:val="0"/>
          <w:bCs w:val="0"/>
          <w:color w:val="000000"/>
          <w:spacing w:val="0"/>
          <w:kern w:val="2"/>
          <w:sz w:val="32"/>
          <w:szCs w:val="32"/>
          <w:highlight w:val="none"/>
          <w:lang w:val="en-US" w:eastAsia="zh-CN" w:bidi="ar-SA"/>
        </w:rPr>
        <w:t>信息披露管理办法》（证监会令第191号）第五条</w:t>
      </w:r>
      <w:r>
        <w:rPr>
          <w:rFonts w:hint="eastAsia" w:ascii="仿宋_GB2312" w:hAnsi="仿宋_GB2312" w:eastAsia="仿宋_GB2312" w:cs="Times New Roman"/>
          <w:b w:val="0"/>
          <w:bCs w:val="0"/>
          <w:color w:val="000000"/>
          <w:spacing w:val="0"/>
          <w:kern w:val="0"/>
          <w:sz w:val="32"/>
          <w:szCs w:val="24"/>
          <w:highlight w:val="none"/>
          <w:lang w:val="en-US" w:eastAsia="zh-CN" w:bidi="ar-SA"/>
        </w:rPr>
        <w:t>的规定履行勤勉义务，对公司上述违规行为负主要责任</w:t>
      </w:r>
      <w:r>
        <w:rPr>
          <w:rFonts w:hint="eastAsia" w:ascii="仿宋_GB2312" w:hAnsi="仿宋_GB2312" w:eastAsia="仿宋_GB2312" w:cs="仿宋_GB2312"/>
          <w:b w:val="0"/>
          <w:bCs w:val="0"/>
          <w:spacing w:val="0"/>
          <w:kern w:val="0"/>
          <w:sz w:val="32"/>
          <w:szCs w:val="24"/>
          <w:highlight w:val="no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24" w:lineRule="auto"/>
        <w:ind w:left="0" w:leftChars="0" w:right="0" w:rightChars="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u w:val="none" w:color="auto"/>
        </w:rPr>
        <w:t>根据</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Times New Roman"/>
          <w:color w:val="000000"/>
          <w:kern w:val="0"/>
          <w:sz w:val="32"/>
          <w:szCs w:val="24"/>
          <w:highlight w:val="none"/>
          <w:lang w:eastAsia="zh-CN"/>
        </w:rPr>
        <w:t>非上市公众公司监督管理办法</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（证监会令</w:t>
      </w:r>
      <w:r>
        <w:rPr>
          <w:rFonts w:hint="eastAsia" w:ascii="仿宋_GB2312" w:hAnsi="仿宋_GB2312" w:eastAsia="仿宋_GB2312" w:cs="Times New Roman"/>
          <w:color w:val="000000"/>
          <w:kern w:val="0"/>
          <w:sz w:val="32"/>
          <w:szCs w:val="32"/>
          <w:highlight w:val="none"/>
          <w:lang w:val="en-US" w:eastAsia="zh-CN"/>
        </w:rPr>
        <w:t>第212号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spacing w:val="0"/>
          <w:kern w:val="0"/>
          <w:sz w:val="32"/>
          <w:szCs w:val="32"/>
          <w:highlight w:val="none"/>
          <w:lang w:eastAsia="zh-CN"/>
        </w:rPr>
        <w:t>第六十五条、</w:t>
      </w:r>
      <w:r>
        <w:rPr>
          <w:rFonts w:hint="eastAsia" w:ascii="仿宋_GB2312" w:hAnsi="仿宋_GB2312" w:eastAsia="仿宋_GB2312" w:cs="仿宋_GB2312"/>
          <w:spacing w:val="0"/>
          <w:sz w:val="32"/>
          <w:szCs w:val="32"/>
          <w:highlight w:val="none"/>
          <w:lang w:eastAsia="zh-CN"/>
        </w:rPr>
        <w:t>《非上市公众公司信息披露管理办法》</w:t>
      </w:r>
      <w:r>
        <w:rPr>
          <w:rFonts w:hint="eastAsia" w:ascii="仿宋_GB2312" w:hAnsi="仿宋_GB2312" w:eastAsia="仿宋_GB2312" w:cs="Times New Roman"/>
          <w:b w:val="0"/>
          <w:bCs w:val="0"/>
          <w:color w:val="000000"/>
          <w:spacing w:val="0"/>
          <w:kern w:val="2"/>
          <w:sz w:val="32"/>
          <w:szCs w:val="32"/>
          <w:highlight w:val="none"/>
          <w:lang w:val="en-US" w:eastAsia="zh-CN"/>
        </w:rPr>
        <w:t>（证监会令第191号）</w:t>
      </w:r>
      <w:r>
        <w:rPr>
          <w:rFonts w:hint="eastAsia" w:ascii="仿宋_GB2312" w:hAnsi="仿宋_GB2312" w:eastAsia="仿宋_GB2312" w:cs="仿宋_GB2312"/>
          <w:spacing w:val="0"/>
          <w:sz w:val="32"/>
          <w:szCs w:val="32"/>
          <w:highlight w:val="none"/>
          <w:lang w:eastAsia="zh-CN"/>
        </w:rPr>
        <w:t>第四十五条</w:t>
      </w:r>
      <w:r>
        <w:rPr>
          <w:rFonts w:hint="eastAsia" w:ascii="仿宋_GB2312" w:hAnsi="仿宋_GB2312" w:eastAsia="仿宋_GB2312" w:cs="仿宋_GB2312"/>
          <w:spacing w:val="0"/>
          <w:kern w:val="0"/>
          <w:sz w:val="32"/>
          <w:szCs w:val="32"/>
          <w:highlight w:val="none"/>
          <w:u w:val="none" w:color="auto"/>
        </w:rPr>
        <w:t>的规</w:t>
      </w:r>
      <w:r>
        <w:rPr>
          <w:rFonts w:hint="eastAsia" w:ascii="仿宋_GB2312" w:hAnsi="仿宋_GB2312" w:eastAsia="仿宋_GB2312" w:cs="仿宋_GB2312"/>
          <w:spacing w:val="0"/>
          <w:kern w:val="0"/>
          <w:sz w:val="32"/>
          <w:szCs w:val="32"/>
          <w:highlight w:val="none"/>
        </w:rPr>
        <w:t>定，</w:t>
      </w:r>
      <w:r>
        <w:rPr>
          <w:rFonts w:hint="eastAsia" w:ascii="仿宋_GB2312" w:hAnsi="仿宋_GB2312" w:eastAsia="仿宋_GB2312" w:cs="仿宋_GB2312"/>
          <w:spacing w:val="0"/>
          <w:kern w:val="0"/>
          <w:sz w:val="32"/>
          <w:szCs w:val="32"/>
          <w:highlight w:val="none"/>
          <w:lang w:eastAsia="zh-CN"/>
        </w:rPr>
        <w:t>我局决定对越群海洋</w:t>
      </w:r>
      <w:r>
        <w:rPr>
          <w:rFonts w:hint="eastAsia" w:ascii="仿宋_GB2312" w:hAnsi="仿宋" w:eastAsia="仿宋_GB2312" w:cs="Times New Roman"/>
          <w:color w:val="auto"/>
          <w:spacing w:val="0"/>
          <w:kern w:val="0"/>
          <w:sz w:val="32"/>
          <w:szCs w:val="30"/>
          <w:highlight w:val="none"/>
          <w:lang w:eastAsia="zh-CN"/>
        </w:rPr>
        <w:t>及洪越群、洪宇建、陈锐东、余成强</w:t>
      </w:r>
      <w:r>
        <w:rPr>
          <w:rFonts w:hint="eastAsia" w:ascii="仿宋_GB2312" w:hAnsi="仿宋_GB2312" w:eastAsia="仿宋_GB2312" w:cs="仿宋_GB2312"/>
          <w:spacing w:val="0"/>
          <w:kern w:val="0"/>
          <w:sz w:val="32"/>
          <w:szCs w:val="32"/>
          <w:highlight w:val="none"/>
          <w:lang w:eastAsia="zh-CN"/>
        </w:rPr>
        <w:t>采取出具警示函的行政监管措施</w:t>
      </w:r>
      <w:r>
        <w:rPr>
          <w:rFonts w:hint="eastAsia" w:ascii="仿宋_GB2312" w:hAnsi="仿宋_GB2312" w:eastAsia="仿宋_GB2312" w:cs="仿宋_GB2312"/>
          <w:spacing w:val="0"/>
          <w:kern w:val="0"/>
          <w:sz w:val="32"/>
          <w:szCs w:val="32"/>
          <w:highlight w:val="none"/>
          <w:lang w:val="en-US" w:eastAsia="zh-CN"/>
        </w:rPr>
        <w:t>。</w:t>
      </w:r>
      <w:r>
        <w:rPr>
          <w:rFonts w:hint="eastAsia" w:ascii="仿宋_GB2312" w:hAnsi="仿宋_GB2312" w:eastAsia="仿宋_GB2312" w:cs="仿宋_GB2312"/>
          <w:spacing w:val="0"/>
          <w:kern w:val="0"/>
          <w:sz w:val="32"/>
          <w:szCs w:val="32"/>
          <w:highlight w:val="none"/>
          <w:lang w:eastAsia="zh-CN"/>
        </w:rPr>
        <w:t>你们</w:t>
      </w:r>
      <w:r>
        <w:rPr>
          <w:rFonts w:hint="eastAsia" w:ascii="仿宋_GB2312" w:hAnsi="仿宋_GB2312" w:eastAsia="仿宋_GB2312" w:cs="仿宋_GB2312"/>
          <w:spacing w:val="0"/>
          <w:kern w:val="0"/>
          <w:sz w:val="32"/>
          <w:szCs w:val="32"/>
          <w:highlight w:val="none"/>
        </w:rPr>
        <w:t>应认真吸取教训，</w:t>
      </w:r>
      <w:r>
        <w:rPr>
          <w:rFonts w:hint="eastAsia" w:ascii="仿宋_GB2312" w:hAnsi="仿宋_GB2312" w:eastAsia="仿宋_GB2312" w:cs="仿宋_GB2312"/>
          <w:spacing w:val="0"/>
          <w:kern w:val="0"/>
          <w:sz w:val="32"/>
          <w:szCs w:val="32"/>
          <w:highlight w:val="none"/>
          <w:lang w:eastAsia="zh-CN"/>
        </w:rPr>
        <w:t>切实加强证券法律法规学习，依法真实、准确、完整、及时、公平地履行信息披露义务，完善内控制度建设，</w:t>
      </w:r>
      <w:r>
        <w:rPr>
          <w:rFonts w:hint="eastAsia" w:ascii="仿宋_GB2312" w:hAnsi="仿宋_GB2312" w:eastAsia="仿宋_GB2312" w:cs="Times New Roman"/>
          <w:spacing w:val="0"/>
          <w:kern w:val="0"/>
          <w:sz w:val="32"/>
          <w:szCs w:val="24"/>
          <w:highlight w:val="none"/>
          <w:lang w:eastAsia="zh-CN"/>
        </w:rPr>
        <w:t>提升信息披露质量和财务核算水平，</w:t>
      </w:r>
      <w:r>
        <w:rPr>
          <w:rFonts w:hint="eastAsia" w:ascii="仿宋_GB2312" w:hAnsi="仿宋_GB2312" w:eastAsia="仿宋_GB2312" w:cs="仿宋_GB2312"/>
          <w:spacing w:val="0"/>
          <w:kern w:val="0"/>
          <w:sz w:val="32"/>
          <w:szCs w:val="32"/>
          <w:highlight w:val="none"/>
        </w:rPr>
        <w:t>同时应对相关责任人员进行内部问责</w:t>
      </w:r>
      <w:r>
        <w:rPr>
          <w:rFonts w:hint="eastAsia" w:ascii="仿宋_GB2312" w:hAnsi="仿宋_GB2312" w:eastAsia="仿宋_GB2312" w:cs="仿宋_GB2312"/>
          <w:spacing w:val="0"/>
          <w:kern w:val="0"/>
          <w:sz w:val="32"/>
          <w:szCs w:val="32"/>
          <w:highlight w:val="none"/>
          <w:lang w:eastAsia="zh-CN"/>
        </w:rPr>
        <w:t>。你公司应在</w:t>
      </w:r>
      <w:r>
        <w:rPr>
          <w:rFonts w:hint="eastAsia" w:ascii="仿宋_GB2312" w:hAnsi="仿宋_GB2312" w:eastAsia="仿宋_GB2312" w:cs="仿宋"/>
          <w:spacing w:val="0"/>
          <w:kern w:val="0"/>
          <w:sz w:val="32"/>
          <w:szCs w:val="30"/>
          <w:highlight w:val="none"/>
        </w:rPr>
        <w:t>收到本决定书</w:t>
      </w:r>
      <w:r>
        <w:rPr>
          <w:rFonts w:hint="eastAsia" w:ascii="仿宋_GB2312" w:hAnsi="仿宋_GB2312" w:eastAsia="仿宋_GB2312" w:cs="仿宋_GB2312"/>
          <w:kern w:val="0"/>
          <w:sz w:val="32"/>
          <w:szCs w:val="32"/>
          <w:highlight w:val="none"/>
          <w:lang w:val="en-US" w:eastAsia="zh-CN"/>
        </w:rPr>
        <w:t>之日起</w:t>
      </w:r>
      <w:r>
        <w:rPr>
          <w:rFonts w:hint="eastAsia" w:ascii="仿宋_GB2312" w:hAnsi="仿宋_GB2312" w:eastAsia="仿宋_GB2312" w:cs="仿宋"/>
          <w:spacing w:val="0"/>
          <w:kern w:val="0"/>
          <w:sz w:val="32"/>
          <w:szCs w:val="30"/>
          <w:highlight w:val="none"/>
        </w:rPr>
        <w:t>30日内向我局报送整改报告、内部问责情况，并抄送</w:t>
      </w:r>
      <w:r>
        <w:rPr>
          <w:rFonts w:hint="eastAsia" w:ascii="仿宋_GB2312" w:hAnsi="仿宋_GB2312" w:eastAsia="仿宋_GB2312" w:cs="仿宋"/>
          <w:spacing w:val="0"/>
          <w:kern w:val="0"/>
          <w:sz w:val="32"/>
          <w:szCs w:val="30"/>
          <w:highlight w:val="none"/>
          <w:lang w:eastAsia="zh-CN"/>
        </w:rPr>
        <w:t>全国中小企业股份转让系统有限责任公司</w:t>
      </w:r>
      <w:r>
        <w:rPr>
          <w:rFonts w:hint="eastAsia" w:ascii="仿宋_GB2312" w:hAnsi="仿宋_GB2312" w:eastAsia="仿宋_GB2312" w:cs="Times New Roman"/>
          <w:spacing w:val="0"/>
          <w:kern w:val="0"/>
          <w:sz w:val="32"/>
          <w:szCs w:val="24"/>
          <w:highlight w:val="none"/>
        </w:rPr>
        <w:t>。</w:t>
      </w:r>
    </w:p>
    <w:p>
      <w:pPr>
        <w:keepNext w:val="0"/>
        <w:keepLines w:val="0"/>
        <w:pageBreakBefore w:val="0"/>
        <w:kinsoku/>
        <w:wordWrap/>
        <w:overflowPunct w:val="0"/>
        <w:topLinePunct w:val="0"/>
        <w:autoSpaceDE/>
        <w:autoSpaceDN/>
        <w:bidi w:val="0"/>
        <w:adjustRightInd w:val="0"/>
        <w:snapToGrid w:val="0"/>
        <w:spacing w:before="0" w:beforeLines="0" w:after="0" w:afterLines="0" w:line="324" w:lineRule="auto"/>
        <w:ind w:firstLine="640" w:firstLineChars="200"/>
        <w:jc w:val="both"/>
        <w:rPr>
          <w:rFonts w:hint="eastAsia" w:ascii="仿宋_GB2312" w:hAnsi="仿宋_GB2312" w:eastAsia="仿宋_GB2312" w:cs="Times New Roman"/>
          <w:kern w:val="0"/>
          <w:sz w:val="32"/>
          <w:szCs w:val="24"/>
          <w:highlight w:val="none"/>
          <w:lang w:eastAsia="zh-CN"/>
        </w:rPr>
      </w:pPr>
      <w:r>
        <w:rPr>
          <w:rFonts w:hint="eastAsia" w:ascii="仿宋_GB2312" w:hAnsi="仿宋_GB2312" w:eastAsia="仿宋_GB2312" w:cs="Times New Roman"/>
          <w:kern w:val="0"/>
          <w:sz w:val="32"/>
          <w:szCs w:val="24"/>
          <w:highlight w:val="none"/>
          <w:lang w:eastAsia="zh-CN"/>
        </w:rPr>
        <w:t>如果</w:t>
      </w:r>
      <w:r>
        <w:rPr>
          <w:rFonts w:hint="eastAsia" w:ascii="仿宋_GB2312" w:hAnsi="仿宋_GB2312" w:eastAsia="仿宋_GB2312" w:cs="Times New Roman"/>
          <w:kern w:val="0"/>
          <w:sz w:val="32"/>
          <w:szCs w:val="24"/>
          <w:highlight w:val="none"/>
        </w:rPr>
        <w:t>对本监督管理措施不服，可以在收到本决定书之日起60日内向中国证券监督管理委员会提出行政复议申请；也可以在收到本决定书之日起6个月内向有管辖权的人民法院提起诉讼。复议与诉讼期间，上述监督管理措施不停止</w:t>
      </w:r>
      <w:r>
        <w:rPr>
          <w:rFonts w:hint="eastAsia" w:ascii="仿宋_GB2312" w:hAnsi="仿宋_GB2312" w:eastAsia="仿宋_GB2312" w:cs="Times New Roman"/>
          <w:kern w:val="0"/>
          <w:sz w:val="32"/>
          <w:szCs w:val="24"/>
          <w:highlight w:val="none"/>
          <w:lang w:eastAsia="zh-CN"/>
        </w:rPr>
        <w:t>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4"/>
          <w:szCs w:val="24"/>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4"/>
          <w:szCs w:val="24"/>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4"/>
          <w:szCs w:val="24"/>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Times New Roman"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31</w:t>
      </w:r>
      <w:r>
        <w:rPr>
          <w:rFonts w:hint="eastAsia" w:ascii="仿宋_GB2312" w:hAnsi="Times New Roman" w:eastAsia="仿宋_GB2312" w:cs="Times New Roman"/>
          <w:color w:val="000000"/>
          <w:spacing w:val="10"/>
          <w:sz w:val="32"/>
          <w:szCs w:val="32"/>
        </w:rPr>
        <w:t>日</w:t>
      </w:r>
    </w:p>
    <w:p>
      <w:pPr>
        <w:snapToGrid w:val="0"/>
        <w:spacing w:beforeLines="0" w:afterLines="0" w:line="360" w:lineRule="auto"/>
        <w:ind w:right="26"/>
        <w:jc w:val="left"/>
        <w:rPr>
          <w:rFonts w:hint="eastAsia" w:ascii="黑体" w:hAnsi="Calibri" w:eastAsia="黑体" w:cs="Times New Roman"/>
          <w:spacing w:val="8"/>
          <w:sz w:val="21"/>
          <w:szCs w:val="21"/>
          <w:highlight w:val="none"/>
        </w:rPr>
      </w:pPr>
    </w:p>
    <w:p>
      <w:pPr>
        <w:snapToGrid w:val="0"/>
        <w:spacing w:beforeLines="0" w:afterLines="0" w:line="360" w:lineRule="auto"/>
        <w:ind w:right="26"/>
        <w:jc w:val="left"/>
        <w:rPr>
          <w:rFonts w:hint="eastAsia" w:ascii="黑体" w:hAnsi="Calibri" w:eastAsia="黑体" w:cs="Times New Roman"/>
          <w:spacing w:val="8"/>
          <w:sz w:val="15"/>
          <w:szCs w:val="15"/>
          <w:highlight w:val="none"/>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302" w:firstLineChars="100"/>
        <w:textAlignment w:val="auto"/>
        <w:rPr>
          <w:rFonts w:hint="eastAsia" w:ascii="仿宋_GB2312" w:hAnsi="Calibri" w:eastAsia="仿宋_GB2312" w:cs="Times New Roman"/>
          <w:spacing w:val="11"/>
          <w:sz w:val="28"/>
          <w:szCs w:val="24"/>
          <w:highlight w:val="none"/>
          <w:lang w:eastAsia="zh-CN"/>
        </w:rPr>
      </w:pPr>
      <w:r>
        <w:rPr>
          <w:rFonts w:hint="eastAsia" w:ascii="仿宋_GB2312" w:hAnsi="Calibri" w:eastAsia="仿宋_GB2312" w:cs="Times New Roman"/>
          <w:spacing w:val="11"/>
          <w:sz w:val="28"/>
          <w:szCs w:val="24"/>
          <w:highlight w:val="none"/>
        </w:rPr>
        <w:t>抄送：</w:t>
      </w:r>
      <w:r>
        <w:rPr>
          <w:rFonts w:hint="eastAsia" w:ascii="仿宋_GB2312" w:hAnsi="Calibri" w:eastAsia="仿宋_GB2312" w:cs="Times New Roman"/>
          <w:spacing w:val="11"/>
          <w:sz w:val="28"/>
          <w:szCs w:val="24"/>
          <w:highlight w:val="none"/>
          <w:lang w:eastAsia="zh-CN"/>
        </w:rPr>
        <w:t>证监会公众司、法治司；全国股转公司；</w:t>
      </w: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1208" w:firstLineChars="400"/>
        <w:textAlignment w:val="auto"/>
        <w:rPr>
          <w:rFonts w:hint="eastAsia" w:ascii="仿宋_GB2312" w:hAnsi="Calibri" w:eastAsia="仿宋_GB2312" w:cs="Times New Roman"/>
          <w:spacing w:val="11"/>
          <w:sz w:val="28"/>
          <w:szCs w:val="24"/>
          <w:highlight w:val="none"/>
          <w:lang w:eastAsia="zh-CN"/>
        </w:rPr>
      </w:pPr>
      <w:r>
        <w:rPr>
          <w:rFonts w:hint="eastAsia" w:ascii="仿宋_GB2312" w:hAnsi="Calibri" w:eastAsia="仿宋_GB2312" w:cs="Times New Roman"/>
          <w:spacing w:val="11"/>
          <w:sz w:val="28"/>
          <w:szCs w:val="24"/>
          <w:highlight w:val="none"/>
          <w:lang w:eastAsia="zh-CN"/>
        </w:rPr>
        <w:t>国海</w:t>
      </w:r>
      <w:r>
        <w:rPr>
          <w:rFonts w:hint="eastAsia" w:ascii="仿宋_GB2312" w:hAnsi="Calibri" w:eastAsia="仿宋_GB2312" w:cs="Times New Roman"/>
          <w:spacing w:val="11"/>
          <w:sz w:val="28"/>
          <w:szCs w:val="24"/>
          <w:highlight w:val="none"/>
        </w:rPr>
        <w:t>证券股份有限公司，</w:t>
      </w: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1208" w:firstLineChars="400"/>
        <w:textAlignment w:val="auto"/>
        <w:rPr>
          <w:rFonts w:hint="eastAsia" w:ascii="长城仿宋" w:hAnsi="Calibri" w:eastAsia="仿宋_GB2312" w:cs="Times New Roman"/>
          <w:spacing w:val="11"/>
          <w:sz w:val="28"/>
          <w:szCs w:val="24"/>
          <w:highlight w:val="none"/>
          <w:lang w:eastAsia="zh-CN"/>
        </w:rPr>
      </w:pPr>
      <w:r>
        <w:rPr>
          <w:rFonts w:hint="eastAsia" w:ascii="仿宋_GB2312" w:hAnsi="Calibri" w:eastAsia="仿宋_GB2312" w:cs="Times New Roman"/>
          <w:spacing w:val="11"/>
          <w:sz w:val="28"/>
          <w:szCs w:val="24"/>
          <w:highlight w:val="none"/>
          <w:lang w:eastAsia="zh-CN"/>
        </w:rPr>
        <w:t>大华</w:t>
      </w:r>
      <w:r>
        <w:rPr>
          <w:rFonts w:hint="eastAsia" w:ascii="仿宋_GB2312" w:hAnsi="Calibri" w:eastAsia="仿宋_GB2312" w:cs="Times New Roman"/>
          <w:spacing w:val="11"/>
          <w:sz w:val="28"/>
          <w:szCs w:val="24"/>
          <w:highlight w:val="none"/>
        </w:rPr>
        <w:t>会计师事务所（特殊普通合伙）。</w:t>
      </w:r>
    </w:p>
    <w:p>
      <w:pPr>
        <w:pBdr>
          <w:top w:val="single" w:color="auto" w:sz="4" w:space="6"/>
        </w:pBdr>
        <w:adjustRightInd w:val="0"/>
        <w:snapToGrid w:val="0"/>
        <w:spacing w:after="109" w:afterLines="35"/>
        <w:ind w:firstLine="318"/>
        <w:jc w:val="left"/>
        <w:rPr>
          <w:rFonts w:hint="eastAsia" w:ascii="仿宋_GB2312" w:hAnsi="Calibri" w:eastAsia="仿宋_GB2312" w:cs="Times New Roman"/>
          <w:spacing w:val="8"/>
          <w:sz w:val="28"/>
          <w:szCs w:val="24"/>
          <w:highlight w:val="none"/>
        </w:rPr>
      </w:pPr>
      <w:r>
        <w:rPr>
          <w:rFonts w:hint="eastAsia" w:ascii="仿宋_GB2312" w:hAnsi="Calibri" w:eastAsia="仿宋_GB2312" w:cs="Times New Roman"/>
          <w:spacing w:val="8"/>
          <w:sz w:val="28"/>
          <w:szCs w:val="24"/>
          <w:highlight w:val="none"/>
        </w:rPr>
        <w:t xml:space="preserve">广东证监局办公室       </w:t>
      </w:r>
      <w:r>
        <w:rPr>
          <w:rFonts w:hint="eastAsia" w:ascii="仿宋_GB2312" w:hAnsi="Calibri" w:eastAsia="仿宋_GB2312" w:cs="Times New Roman"/>
          <w:spacing w:val="8"/>
          <w:sz w:val="28"/>
          <w:szCs w:val="24"/>
          <w:highlight w:val="none"/>
          <w:lang w:val="en-US" w:eastAsia="zh-CN"/>
        </w:rPr>
        <w:t xml:space="preserve"> </w:t>
      </w:r>
      <w:r>
        <w:rPr>
          <w:rFonts w:hint="eastAsia" w:ascii="仿宋_GB2312" w:hAnsi="Calibri" w:eastAsia="仿宋_GB2312" w:cs="Times New Roman"/>
          <w:spacing w:val="8"/>
          <w:sz w:val="28"/>
          <w:szCs w:val="24"/>
          <w:highlight w:val="none"/>
        </w:rPr>
        <w:t xml:space="preserve">      </w:t>
      </w:r>
      <w:r>
        <w:rPr>
          <w:rFonts w:hint="default" w:ascii="仿宋_GB2312" w:hAnsi="Calibri" w:eastAsia="仿宋_GB2312" w:cs="Times New Roman"/>
          <w:spacing w:val="8"/>
          <w:sz w:val="28"/>
          <w:szCs w:val="24"/>
          <w:highlight w:val="none"/>
          <w:lang w:val="en"/>
        </w:rPr>
        <w:t xml:space="preserve">   </w:t>
      </w:r>
      <w:r>
        <w:rPr>
          <w:rFonts w:hint="eastAsia" w:ascii="仿宋_GB2312" w:hAnsi="Calibri" w:eastAsia="仿宋_GB2312" w:cs="Times New Roman"/>
          <w:spacing w:val="8"/>
          <w:sz w:val="28"/>
          <w:szCs w:val="24"/>
          <w:highlight w:val="none"/>
        </w:rPr>
        <w:t xml:space="preserve"> </w:t>
      </w:r>
      <w:r>
        <w:rPr>
          <w:rFonts w:hint="default" w:ascii="仿宋_GB2312" w:hAnsi="Calibri" w:eastAsia="仿宋_GB2312" w:cs="Times New Roman"/>
          <w:spacing w:val="8"/>
          <w:sz w:val="28"/>
          <w:szCs w:val="24"/>
          <w:highlight w:val="none"/>
          <w:lang w:val="en" w:eastAsia="zh-CN"/>
        </w:rPr>
        <w:t>202</w:t>
      </w:r>
      <w:r>
        <w:rPr>
          <w:rFonts w:hint="eastAsia" w:ascii="仿宋_GB2312" w:hAnsi="Calibri" w:eastAsia="仿宋_GB2312" w:cs="Times New Roman"/>
          <w:spacing w:val="8"/>
          <w:sz w:val="28"/>
          <w:szCs w:val="24"/>
          <w:highlight w:val="none"/>
          <w:lang w:val="en-US" w:eastAsia="zh-CN"/>
        </w:rPr>
        <w:t>5</w:t>
      </w:r>
      <w:r>
        <w:rPr>
          <w:rFonts w:hint="eastAsia" w:ascii="仿宋_GB2312" w:hAnsi="Calibri" w:eastAsia="仿宋_GB2312" w:cs="Times New Roman"/>
          <w:spacing w:val="8"/>
          <w:sz w:val="28"/>
          <w:szCs w:val="24"/>
          <w:highlight w:val="none"/>
        </w:rPr>
        <w:t>年</w:t>
      </w:r>
      <w:r>
        <w:rPr>
          <w:rFonts w:hint="default" w:ascii="仿宋_GB2312" w:hAnsi="Calibri" w:eastAsia="仿宋_GB2312" w:cs="Times New Roman"/>
          <w:spacing w:val="8"/>
          <w:sz w:val="28"/>
          <w:szCs w:val="24"/>
          <w:highlight w:val="none"/>
          <w:lang w:val="en"/>
        </w:rPr>
        <w:t>12</w:t>
      </w:r>
      <w:r>
        <w:rPr>
          <w:rFonts w:hint="eastAsia" w:ascii="仿宋_GB2312" w:hAnsi="Calibri" w:eastAsia="仿宋_GB2312" w:cs="Times New Roman"/>
          <w:spacing w:val="8"/>
          <w:sz w:val="28"/>
          <w:szCs w:val="24"/>
          <w:highlight w:val="none"/>
        </w:rPr>
        <w:t>月</w:t>
      </w:r>
      <w:r>
        <w:rPr>
          <w:rFonts w:hint="default" w:ascii="仿宋_GB2312" w:hAnsi="Calibri" w:eastAsia="仿宋_GB2312" w:cs="Times New Roman"/>
          <w:spacing w:val="8"/>
          <w:sz w:val="28"/>
          <w:szCs w:val="24"/>
          <w:highlight w:val="none"/>
          <w:lang w:val="en-US" w:eastAsia="zh-CN"/>
        </w:rPr>
        <w:t>31</w:t>
      </w:r>
      <w:r>
        <w:rPr>
          <w:rFonts w:hint="eastAsia" w:ascii="仿宋_GB2312" w:hAnsi="Calibri" w:eastAsia="仿宋_GB2312" w:cs="Times New Roman"/>
          <w:spacing w:val="8"/>
          <w:sz w:val="28"/>
          <w:szCs w:val="24"/>
          <w:highlight w:val="none"/>
        </w:rPr>
        <w:t>日印发</w:t>
      </w:r>
    </w:p>
    <w:bookmarkEnd w:id="1"/>
    <w:p>
      <w:pPr>
        <w:pBdr>
          <w:top w:val="single" w:color="auto" w:sz="8" w:space="7"/>
        </w:pBdr>
        <w:overflowPunct w:val="0"/>
        <w:adjustRightInd w:val="0"/>
        <w:snapToGrid w:val="0"/>
        <w:spacing w:beforeLines="0" w:after="0" w:afterLines="0"/>
        <w:ind w:firstLine="0"/>
        <w:jc w:val="left"/>
        <w:rPr>
          <w:rFonts w:hint="eastAsia" w:ascii="仿宋_GB2312" w:hAnsi="Calibri" w:eastAsia="仿宋_GB2312" w:cs="Times New Roman"/>
          <w:spacing w:val="8"/>
          <w:sz w:val="2"/>
          <w:szCs w:val="2"/>
          <w:highlight w:val="none"/>
        </w:rPr>
      </w:pPr>
    </w:p>
    <w:sectPr>
      <w:footerReference r:id="rId3" w:type="default"/>
      <w:pgSz w:w="11906" w:h="16838"/>
      <w:pgMar w:top="2097" w:right="1474" w:bottom="1984" w:left="1587" w:header="851" w:footer="1587"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EF976"/>
    <w:rsid w:val="33E7C8AA"/>
    <w:rsid w:val="3BEF66E0"/>
    <w:rsid w:val="3E2E6842"/>
    <w:rsid w:val="3E5D7EF2"/>
    <w:rsid w:val="5A37CA5F"/>
    <w:rsid w:val="6FADDDC9"/>
    <w:rsid w:val="77FEF976"/>
    <w:rsid w:val="78761F72"/>
    <w:rsid w:val="7F8D21F1"/>
    <w:rsid w:val="7FE30EED"/>
    <w:rsid w:val="85FFCECF"/>
    <w:rsid w:val="B9A5BACB"/>
    <w:rsid w:val="CFD7E071"/>
    <w:rsid w:val="CFDF78C6"/>
    <w:rsid w:val="E6FBB9CB"/>
    <w:rsid w:val="FF9B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2026-01-02T02:57:00Z</dcterms:created>
  <dc:creator>董建辖：主办人拟稿</dc:creator>
  <cp:lastModifiedBy>董建辖：主办人拟稿</cp:lastModifiedBy>
  <dcterms:modified xsi:type="dcterms:W3CDTF">2026-01-05T11:12:43Z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031BC5FF5BCBD557A26F53690A144BAF</vt:lpwstr>
  </property>
</Properties>
</file>