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numPr>
          <w:numId w:val="0"/>
        </w:numPr>
        <w:spacing w:line="360" w:lineRule="auto"/>
        <w:ind w:leftChars="0"/>
        <w:jc w:val="center"/>
        <w:outlineLvl w:val="1"/>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我要去哪里交易期货</w:t>
      </w:r>
    </w:p>
    <w:p>
      <w:pPr>
        <w:pStyle w:val="4"/>
        <w:keepNext w:val="0"/>
        <w:keepLines w:val="0"/>
        <w:pageBreakBefore w:val="0"/>
        <w:widowControl w:val="0"/>
        <w:numPr>
          <w:numId w:val="0"/>
        </w:numPr>
        <w:kinsoku/>
        <w:wordWrap/>
        <w:overflowPunct/>
        <w:topLinePunct w:val="0"/>
        <w:autoSpaceDE/>
        <w:autoSpaceDN/>
        <w:bidi w:val="0"/>
        <w:adjustRightInd/>
        <w:snapToGrid/>
        <w:spacing w:line="360" w:lineRule="auto"/>
        <w:ind w:leftChars="0"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投资者参与期货交易需通过期货公司开立期货账户，期货公司将通过监控中心的统一开</w:t>
      </w:r>
      <w:bookmarkStart w:id="0" w:name="_GoBack"/>
      <w:bookmarkEnd w:id="0"/>
      <w:r>
        <w:rPr>
          <w:rFonts w:hint="eastAsia" w:ascii="仿宋_GB2312" w:hAnsi="仿宋_GB2312" w:eastAsia="仿宋_GB2312" w:cs="仿宋_GB2312"/>
          <w:sz w:val="32"/>
          <w:szCs w:val="32"/>
        </w:rPr>
        <w:t>户系统为投资者办理交易编码开立期货账户，其中期货公司是经中国证监会许可经营的期货机构。未经中国证监会许可而从事证券期货经营活动的机构为非法证券期货经营机构。投资者可登录中国期货业协会（www.cfachina.org）进行查询辨认，防范非法期货。</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4344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csrc</dc:creator>
  <cp:lastModifiedBy>csrc</cp:lastModifiedBy>
  <dcterms:modified xsi:type="dcterms:W3CDTF">2022-03-25T01:04:26Z</dcterms:modified>
  <dc:title>我要去哪里交易期货</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ies>
</file>