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浙江辖区期货公司分支机构换领许可证申请材料清单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联系方式：0571-88473521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许可证申领——新设、收购分支机构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备案申请人应当自完成相关工商登记之日起5个工作日内，向我局申领、换领分支机构许可证。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（一）备案报告（应为期货公司正式文件，有文号，格式规范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报告包含决议文件，决议文件须注明</w:t>
      </w:r>
      <w:r>
        <w:rPr>
          <w:rFonts w:hint="eastAsia" w:ascii="仿宋" w:hAnsi="仿宋" w:eastAsia="仿宋" w:cs="仿宋"/>
          <w:sz w:val="32"/>
          <w:szCs w:val="32"/>
        </w:rPr>
        <w:t>会议召开时间、参会人员、决议内容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表决情况）；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（二）分支机构营业执照副本复印件；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）分支机构负责人任职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备案材料（详见《期货经营机构报备报告事项工作指引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》第24项）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）分支机构从业人员名册及期货从业资格证明；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）营业场所所有权或者使用权证明；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）首席风险官出具的公司符合相关条件的意见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凭身份证复印件、介绍信至我局机构检查处领取新证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许可证变更——变更名称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发生分支机构变更名称的，申请人应当自完成相关工商变更登记之日起5个工作日内，向我局申领、换领分支机构许可证。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报告（应为期货公司正式文件，有文号，格式规范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报告包含决议文件，决议文件须注明</w:t>
      </w:r>
      <w:r>
        <w:rPr>
          <w:rFonts w:hint="eastAsia" w:ascii="仿宋" w:hAnsi="仿宋" w:eastAsia="仿宋" w:cs="仿宋"/>
          <w:sz w:val="32"/>
          <w:szCs w:val="32"/>
        </w:rPr>
        <w:t>会议召开时间、参会人员、决议内容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表决情况）；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）变更后的分支机构营业执照副本复印件；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）（分支机构变更名称因相关行政许可事项导致的）相关行政许可批复复印件；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）分支机构原《经营证券期货业务许可证》正、副本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至我局机构检查处换领新证。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三、许可证变更——变更负责人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备案申请人应当自完成相关工商变更登记之日起5个工作日内，向我局申领、换领分支机构许可证。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（一）备案报告（应为期货公司正式文件，有文号，格式规范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报告包含决议文件，决议文件须注明</w:t>
      </w:r>
      <w:r>
        <w:rPr>
          <w:rFonts w:hint="eastAsia" w:ascii="仿宋" w:hAnsi="仿宋" w:eastAsia="仿宋" w:cs="仿宋"/>
          <w:sz w:val="32"/>
          <w:szCs w:val="32"/>
        </w:rPr>
        <w:t>会议召开时间、参会人员、决议内容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表决情况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（二）变更后的分支机构营业执照副本复印件；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分支机构原《经营证券期货业务许可证》正、副本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）分支机构负责人任职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备案材料（详见《期货经营机构报备报告事项工作指引》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第24项）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在同一期货公司内，分支机构负责人改任同一辖区内的其他分支机构负责人，提交第（一）至（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至我局机构检查处换领新证。</w:t>
      </w:r>
    </w:p>
    <w:p>
      <w:pPr>
        <w:widowControl w:val="0"/>
        <w:wordWrap/>
        <w:adjustRightInd/>
        <w:snapToGrid/>
        <w:spacing w:line="380" w:lineRule="atLeas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380" w:lineRule="atLeas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380" w:lineRule="atLeas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许可证变更——营业场所变更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备案申请人应当自完成相关工商变更登记之日起5个工作日内，向我局申领、换领分支机构许可证。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（一）备案报告（应为期货公司正式文件，有文号，格式规范）；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（二）变更后的分支机构营业执照副本复印件；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（三）公司决议文件(应注明会议召开时间、参会人员、决议内容、表决情况等）；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关于客户资产处理情况，变更后住所和使用的设施符合期货业务需要的说明（建立了对所有客户的保证金和持仓处理方案，保证信息及时传达到每个客户，确保搬迁工作不影响客户的正常交易或者损害客户利益）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（五）变更后住所所有权或使用权证明（拟搬迁的住所产权明晰，租赁合同合法有效）；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（七）首席风险官出具的符合相关条件的意见；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（八）分支机构原《经营证券期货业务许可证》正、副本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widowControl w:val="0"/>
        <w:wordWrap/>
        <w:adjustRightInd/>
        <w:snapToGrid/>
        <w:spacing w:line="380" w:lineRule="atLeast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至我局机构检查处换领新证。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五、许可证变更——营业范围变更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备案申请人应当自完成相关工商变更登记之日起5个工作日内，向我局申领、换领分支机构许可证。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（一）备案报告（应为期货公司正式文件，有文号，格式规范）；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（二）变更后的分支机构营业执照副本复印件；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（三）期货公司相关业务资格证明；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（四）期货公司对分支机构业务范围的授权文件；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（五）分支机构相关人员相关业务资格证明（如需增加“基金销售”业务，须提交分支机构负责人的基金从业资格证明）；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（六）分支机构原《经营证券期货业务许可证》正、副本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至我局机构检查处换领新证。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许可证注销——注销分支机构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备案申请人应当依法终止经营活动，妥善处理客户资产，并自完成上述工作之日起5个工作日内，报我局备案。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分支机构终止注销许可证的，在备案文件齐备的前提下，我局未在5个工作日内表示异议的，公司应当依法办理相关分支机构的工商注销登记，并自办理完成之日起10个工作日内，持工商注销登记证明向我局缴回许可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（一）备案报告（应为期货公司正式文件，有文号，格式规范）；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（二）公司决议文件(应注明会议召开时间、参会人员、决议内容、表决情况等）；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（三）关于处理分支机构客户资产、结清期货业务并终止经营活动情况的说明；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（四）在中国证监会指定报刊上的公告证明；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（五）首席风险官出具的公司符合相关条件的意见；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（六）分支机构《经营证券期货业务许可证》正、副本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至我局机构检查处注销。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许可证补领——分支机构因许可证破损、遗失、灭失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适用情况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发生分支机构许可证破损，申请人应当及时向我局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换</w:t>
      </w:r>
      <w:r>
        <w:rPr>
          <w:rFonts w:hint="eastAsia" w:ascii="仿宋" w:hAnsi="仿宋" w:eastAsia="仿宋" w:cs="仿宋"/>
          <w:sz w:val="32"/>
          <w:szCs w:val="32"/>
        </w:rPr>
        <w:t>领分支机构许可证；发生许可证遗失或者灭失的，申请人应当按照《期货公司监督管理办法》第三十四条的规定，在30个工作日内在中国证监会指定的媒体上声明作废，并在公告完成后20个工作日内向我局补领分支机构许可证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报告（应为期货公司正式文件，有文号，格式规范）；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（二）按照《期货公司监督管理办法》第三十九条的规定在媒体上声明许可证作废的登载声明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复印件（适用于</w:t>
      </w:r>
      <w:r>
        <w:rPr>
          <w:rFonts w:hint="eastAsia" w:ascii="仿宋" w:hAnsi="仿宋" w:eastAsia="仿宋" w:cs="仿宋"/>
          <w:sz w:val="32"/>
          <w:szCs w:val="32"/>
        </w:rPr>
        <w:t>许可证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遗失、灭失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情形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（三）分支机构营业执照副本复印件；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（四）分支机构《经营证券期货业务许可证》的正、副本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sz w:val="32"/>
          <w:szCs w:val="32"/>
        </w:rPr>
        <w:t>（适用于许可证破损情形）。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上述申请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应加盖期货公司公章。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报送形式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扫描为PDF格式的彩色文件。</w:t>
      </w:r>
    </w:p>
    <w:p>
      <w:pPr>
        <w:ind w:firstLine="643" w:firstLineChars="200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报送途径：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电子报文系统、FISS。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分支机构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</w:rPr>
        <w:t>许可证破损换领许可证的，经办人应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凭身份证复印件、介绍信、原许可证正本、副本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</w:rPr>
        <w:t>至我局机构检查处领取新证。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因许可证遗失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灭失</w:t>
      </w:r>
      <w:r>
        <w:rPr>
          <w:rFonts w:hint="eastAsia" w:ascii="仿宋" w:hAnsi="仿宋" w:eastAsia="仿宋" w:cs="仿宋"/>
          <w:sz w:val="32"/>
          <w:szCs w:val="32"/>
        </w:rPr>
        <w:t>申请补领许可证的，经办人应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携带上述材料（纸质盖章版）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凭身份证复印件、介绍信、公告报纸原件至我局机构检查处领取新证。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left:203.8pt;margin-top:0pt;height:144pt;width:144p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b/>
                    <w:bCs/>
                    <w:color w:val="auto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/>
                    <w:b/>
                    <w:bCs/>
                    <w:color w:val="auto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/>
                    <w:b/>
                    <w:bCs/>
                    <w:color w:val="auto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b/>
                    <w:bCs/>
                    <w:color w:val="auto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b/>
                    <w:bCs/>
                    <w:color w:val="auto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/>
                    <w:b/>
                    <w:bCs/>
                    <w:color w:val="auto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89368D9"/>
    <w:rsid w:val="389368D9"/>
    <w:rsid w:val="3A116177"/>
    <w:rsid w:val="3E2D6A06"/>
    <w:rsid w:val="5C5826DE"/>
    <w:rsid w:val="5FCD6C5E"/>
    <w:rsid w:val="7E05049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2021-10-12T03:21:00Z</dcterms:created>
  <dc:creator>胡槟凯</dc:creator>
  <cp:lastModifiedBy>胡槟凯：拟稿</cp:lastModifiedBy>
  <cp:lastPrinted>2021-10-15T08:34:00Z</cp:lastPrinted>
  <dcterms:modified xsi:type="dcterms:W3CDTF">2021-11-15T07:19:02Z</dcterms:modified>
  <dc:title>浙江辖区期货公司分支机构换领许可证申请材料清单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